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96" w:type="dxa"/>
        <w:jc w:val="center"/>
        <w:tblCellMar>
          <w:left w:w="10" w:type="dxa"/>
          <w:right w:w="10" w:type="dxa"/>
        </w:tblCellMar>
        <w:tblLook w:val="0000"/>
      </w:tblPr>
      <w:tblGrid>
        <w:gridCol w:w="6096"/>
      </w:tblGrid>
      <w:tr w:rsidR="0024395C">
        <w:tblPrEx>
          <w:tblCellMar>
            <w:top w:w="0" w:type="dxa"/>
            <w:bottom w:w="0" w:type="dxa"/>
          </w:tblCellMar>
        </w:tblPrEx>
        <w:trPr>
          <w:trHeight w:val="636"/>
          <w:jc w:val="center"/>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pPr>
              <w:pStyle w:val="Standard"/>
              <w:jc w:val="center"/>
              <w:rPr>
                <w:b/>
                <w:bCs/>
              </w:rPr>
            </w:pPr>
            <w:r>
              <w:rPr>
                <w:b/>
                <w:bCs/>
              </w:rPr>
              <w:t>Urgence en neurochirurgie</w:t>
            </w:r>
          </w:p>
          <w:p w:rsidR="0024395C" w:rsidRDefault="00C839DD">
            <w:pPr>
              <w:pStyle w:val="Standard"/>
              <w:jc w:val="center"/>
              <w:rPr>
                <w:b/>
                <w:bCs/>
              </w:rPr>
            </w:pPr>
            <w:r>
              <w:rPr>
                <w:b/>
                <w:bCs/>
              </w:rPr>
              <w:t xml:space="preserve"> item 244 et 146</w:t>
            </w:r>
          </w:p>
        </w:tc>
      </w:tr>
    </w:tbl>
    <w:p w:rsidR="0024395C" w:rsidRDefault="0024395C">
      <w:pPr>
        <w:pStyle w:val="Standard"/>
        <w:jc w:val="center"/>
        <w:rPr>
          <w:b/>
          <w:bCs/>
        </w:rPr>
      </w:pPr>
    </w:p>
    <w:p w:rsidR="0024395C" w:rsidRDefault="0024395C">
      <w:pPr>
        <w:pStyle w:val="Standard"/>
        <w:rPr>
          <w:b/>
          <w:bCs/>
        </w:rPr>
      </w:pPr>
    </w:p>
    <w:p w:rsidR="0024395C" w:rsidRDefault="0024395C">
      <w:pPr>
        <w:pStyle w:val="Standard"/>
        <w:rPr>
          <w:b/>
          <w:bCs/>
        </w:rPr>
      </w:pPr>
    </w:p>
    <w:p w:rsidR="0024395C" w:rsidRDefault="0024395C">
      <w:pPr>
        <w:pStyle w:val="Standard"/>
        <w:rPr>
          <w:b/>
          <w:bCs/>
        </w:rPr>
      </w:pPr>
    </w:p>
    <w:p w:rsidR="0024395C" w:rsidRDefault="00C839DD">
      <w:pPr>
        <w:pStyle w:val="Standard"/>
      </w:pPr>
      <w:r>
        <w:t>En île de France, 6 services assurent à tour de rôle les gardes de 24h des urgences de neurochirurgies.</w:t>
      </w:r>
    </w:p>
    <w:p w:rsidR="0024395C" w:rsidRDefault="00C839DD">
      <w:pPr>
        <w:pStyle w:val="Standard"/>
      </w:pPr>
      <w:r>
        <w:t xml:space="preserve">Ces urgences sont surtout </w:t>
      </w:r>
      <w:r>
        <w:t>vasculaires (1/3 des cas) puis dues à des traumatismes et enfin consistent en des tumeurs cérébrales (surtout de l'imagerie en urgence) ou des troubles du rachis (décompensation du canal lombaire étroit).</w:t>
      </w:r>
    </w:p>
    <w:p w:rsidR="0024395C" w:rsidRDefault="0024395C">
      <w:pPr>
        <w:pStyle w:val="Standard"/>
      </w:pPr>
    </w:p>
    <w:p w:rsidR="0024395C" w:rsidRDefault="00C839DD">
      <w:pPr>
        <w:pStyle w:val="Standard"/>
      </w:pPr>
      <w:r>
        <w:t>Nous allons commencer par voir les urgences vascul</w:t>
      </w:r>
      <w:r>
        <w:t>aires pour finir par les traumatiques.</w:t>
      </w:r>
    </w:p>
    <w:p w:rsidR="0024395C" w:rsidRDefault="0024395C">
      <w:pPr>
        <w:pStyle w:val="Standard"/>
      </w:pPr>
    </w:p>
    <w:p w:rsidR="008C58A4" w:rsidRDefault="008C58A4">
      <w:pPr>
        <w:pStyle w:val="Standard"/>
      </w:pPr>
    </w:p>
    <w:p w:rsidR="008C58A4" w:rsidRDefault="008C58A4">
      <w:pPr>
        <w:pStyle w:val="Standard"/>
      </w:pPr>
    </w:p>
    <w:p w:rsidR="0024395C" w:rsidRDefault="00C839DD">
      <w:pPr>
        <w:pStyle w:val="Standard"/>
        <w:rPr>
          <w:b/>
          <w:bCs/>
          <w:u w:val="single"/>
        </w:rPr>
      </w:pPr>
      <w:r>
        <w:rPr>
          <w:b/>
          <w:bCs/>
          <w:u w:val="single"/>
        </w:rPr>
        <w:t>I/ Les urgences vasculaires</w:t>
      </w:r>
    </w:p>
    <w:p w:rsidR="0024395C" w:rsidRDefault="0024395C">
      <w:pPr>
        <w:pStyle w:val="Standard"/>
      </w:pPr>
    </w:p>
    <w:p w:rsidR="0024395C" w:rsidRDefault="0024395C">
      <w:pPr>
        <w:pStyle w:val="Standard"/>
      </w:pPr>
    </w:p>
    <w:p w:rsidR="0024395C" w:rsidRDefault="00C839DD">
      <w:pPr>
        <w:pStyle w:val="Standard"/>
        <w:numPr>
          <w:ilvl w:val="0"/>
          <w:numId w:val="1"/>
        </w:numPr>
        <w:rPr>
          <w:u w:val="single"/>
        </w:rPr>
      </w:pPr>
      <w:r>
        <w:rPr>
          <w:u w:val="single"/>
        </w:rPr>
        <w:t>l’hémorragie méningée non traumatique</w:t>
      </w:r>
    </w:p>
    <w:p w:rsidR="0024395C" w:rsidRDefault="0024395C">
      <w:pPr>
        <w:pStyle w:val="Standard"/>
        <w:rPr>
          <w:u w:val="single"/>
        </w:rPr>
      </w:pPr>
    </w:p>
    <w:p w:rsidR="0024395C" w:rsidRDefault="00C839DD">
      <w:pPr>
        <w:pStyle w:val="Standard"/>
      </w:pPr>
      <w:r>
        <w:t xml:space="preserve"> Il y a environ 6-7 cas d'hémorragie méningée pour 100 000 habitants.</w:t>
      </w:r>
    </w:p>
    <w:p w:rsidR="0024395C" w:rsidRDefault="00C839DD">
      <w:pPr>
        <w:pStyle w:val="Standard"/>
      </w:pPr>
      <w:r>
        <w:t xml:space="preserve">L'incidence augmente avec l'âge (moyenne d'âge environ 50 à 57 ans) mais </w:t>
      </w:r>
      <w:r>
        <w:t>attention, ce n'est pas rare chez les jeunes non plus !</w:t>
      </w:r>
    </w:p>
    <w:p w:rsidR="0024395C" w:rsidRDefault="00C839DD">
      <w:pPr>
        <w:pStyle w:val="Standard"/>
      </w:pPr>
      <w:r>
        <w:t>C'est une urgence médicale, dont la mortalité est très élevée (50%) dont 10 à 15 % en pré-hospitalier (céphalée brutale et coma avant l'arrivée aux urgences)</w:t>
      </w:r>
    </w:p>
    <w:p w:rsidR="008C58A4" w:rsidRDefault="008C58A4">
      <w:pPr>
        <w:pStyle w:val="Standard"/>
      </w:pPr>
    </w:p>
    <w:p w:rsidR="0024395C" w:rsidRDefault="007544EB">
      <w:pPr>
        <w:pStyle w:val="Standard"/>
      </w:pPr>
      <w:r>
        <w:rPr>
          <w:noProof/>
          <w:lang w:eastAsia="fr-FR" w:bidi="ar-SA"/>
        </w:rPr>
        <w:drawing>
          <wp:anchor distT="0" distB="0" distL="114300" distR="114300" simplePos="0" relativeHeight="251671040" behindDoc="1" locked="0" layoutInCell="1" allowOverlap="1">
            <wp:simplePos x="0" y="0"/>
            <wp:positionH relativeFrom="column">
              <wp:posOffset>4106545</wp:posOffset>
            </wp:positionH>
            <wp:positionV relativeFrom="paragraph">
              <wp:posOffset>90170</wp:posOffset>
            </wp:positionV>
            <wp:extent cx="1562735" cy="2125980"/>
            <wp:effectExtent l="19050" t="0" r="0" b="0"/>
            <wp:wrapNone/>
            <wp:docPr id="1" name="il_fi" descr="http://upload.wikimedia.org/wikipedia/commons/thumb/c/cc/Meninges_diagram_-_fr.jpg/300px-Meninges_diagram_-_f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42795" t="930" r="2523" b="6047"/>
                    <a:stretch>
                      <a:fillRect/>
                    </a:stretch>
                  </pic:blipFill>
                  <pic:spPr>
                    <a:xfrm>
                      <a:off x="0" y="0"/>
                      <a:ext cx="1562735" cy="2125980"/>
                    </a:xfrm>
                    <a:prstGeom prst="rect">
                      <a:avLst/>
                    </a:prstGeom>
                    <a:noFill/>
                    <a:ln>
                      <a:noFill/>
                      <a:prstDash/>
                    </a:ln>
                  </pic:spPr>
                </pic:pic>
              </a:graphicData>
            </a:graphic>
          </wp:anchor>
        </w:drawing>
      </w:r>
    </w:p>
    <w:p w:rsidR="0024395C" w:rsidRDefault="00C839DD">
      <w:pPr>
        <w:pStyle w:val="Standard"/>
      </w:pPr>
      <w:r>
        <w:t>Il y a plusieurs types d'hémorragies mén</w:t>
      </w:r>
      <w:r>
        <w:t>ingées :</w:t>
      </w:r>
    </w:p>
    <w:tbl>
      <w:tblPr>
        <w:tblpPr w:leftFromText="141" w:rightFromText="141" w:vertAnchor="text" w:tblpY="1"/>
        <w:tblOverlap w:val="never"/>
        <w:tblW w:w="4716" w:type="dxa"/>
        <w:tblCellMar>
          <w:left w:w="10" w:type="dxa"/>
          <w:right w:w="10" w:type="dxa"/>
        </w:tblCellMar>
        <w:tblLook w:val="0000"/>
      </w:tblPr>
      <w:tblGrid>
        <w:gridCol w:w="4716"/>
      </w:tblGrid>
      <w:tr w:rsidR="0024395C" w:rsidTr="007544EB">
        <w:tblPrEx>
          <w:tblCellMar>
            <w:top w:w="0" w:type="dxa"/>
            <w:bottom w:w="0" w:type="dxa"/>
          </w:tblCellMar>
        </w:tblPrEx>
        <w:trPr>
          <w:trHeight w:val="303"/>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Dure mère</w:t>
            </w:r>
          </w:p>
        </w:tc>
      </w:tr>
      <w:tr w:rsidR="0024395C" w:rsidTr="007544EB">
        <w:tblPrEx>
          <w:tblCellMar>
            <w:top w:w="0" w:type="dxa"/>
            <w:bottom w:w="0" w:type="dxa"/>
          </w:tblCellMar>
        </w:tblPrEx>
        <w:trPr>
          <w:trHeight w:val="270"/>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 xml:space="preserve">                            saignement extraduraux</w:t>
            </w:r>
          </w:p>
        </w:tc>
      </w:tr>
      <w:tr w:rsidR="0024395C" w:rsidTr="007544EB">
        <w:tblPrEx>
          <w:tblCellMar>
            <w:top w:w="0" w:type="dxa"/>
            <w:bottom w:w="0" w:type="dxa"/>
          </w:tblCellMar>
        </w:tblPrEx>
        <w:trPr>
          <w:trHeight w:val="326"/>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 xml:space="preserve">Arachnoïde </w:t>
            </w:r>
            <w:proofErr w:type="spellStart"/>
            <w:r>
              <w:t>barrier</w:t>
            </w:r>
            <w:proofErr w:type="spellEnd"/>
            <w:r>
              <w:t xml:space="preserve"> </w:t>
            </w:r>
            <w:proofErr w:type="spellStart"/>
            <w:r>
              <w:t>cells</w:t>
            </w:r>
            <w:proofErr w:type="spellEnd"/>
          </w:p>
        </w:tc>
      </w:tr>
      <w:tr w:rsidR="0024395C" w:rsidTr="007544EB">
        <w:tblPrEx>
          <w:tblCellMar>
            <w:top w:w="0" w:type="dxa"/>
            <w:bottom w:w="0" w:type="dxa"/>
          </w:tblCellMar>
        </w:tblPrEx>
        <w:trPr>
          <w:trHeight w:val="268"/>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 xml:space="preserve">                            saignements sous duraux</w:t>
            </w:r>
          </w:p>
        </w:tc>
      </w:tr>
      <w:tr w:rsidR="0024395C" w:rsidTr="007544EB">
        <w:tblPrEx>
          <w:tblCellMar>
            <w:top w:w="0" w:type="dxa"/>
            <w:bottom w:w="0" w:type="dxa"/>
          </w:tblCellMar>
        </w:tblPrEx>
        <w:trPr>
          <w:trHeight w:val="327"/>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proofErr w:type="spellStart"/>
            <w:r>
              <w:t>Trabécules</w:t>
            </w:r>
            <w:proofErr w:type="spellEnd"/>
            <w:r>
              <w:t xml:space="preserve"> </w:t>
            </w:r>
            <w:proofErr w:type="spellStart"/>
            <w:r>
              <w:t>arachnoiïdiens</w:t>
            </w:r>
            <w:proofErr w:type="spellEnd"/>
          </w:p>
        </w:tc>
      </w:tr>
      <w:tr w:rsidR="0024395C" w:rsidTr="007544EB">
        <w:tblPrEx>
          <w:tblCellMar>
            <w:top w:w="0" w:type="dxa"/>
            <w:bottom w:w="0" w:type="dxa"/>
          </w:tblCellMar>
        </w:tblPrEx>
        <w:trPr>
          <w:trHeight w:val="235"/>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 xml:space="preserve">                           saignement sous arachnoïdien</w:t>
            </w:r>
          </w:p>
        </w:tc>
      </w:tr>
      <w:tr w:rsidR="0024395C" w:rsidTr="007544EB">
        <w:tblPrEx>
          <w:tblCellMar>
            <w:top w:w="0" w:type="dxa"/>
            <w:bottom w:w="0" w:type="dxa"/>
          </w:tblCellMar>
        </w:tblPrEx>
        <w:trPr>
          <w:trHeight w:val="314"/>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Pie Mère</w:t>
            </w:r>
          </w:p>
        </w:tc>
      </w:tr>
      <w:tr w:rsidR="0024395C" w:rsidTr="007544EB">
        <w:tblPrEx>
          <w:tblCellMar>
            <w:top w:w="0" w:type="dxa"/>
            <w:bottom w:w="0" w:type="dxa"/>
          </w:tblCellMar>
        </w:tblPrEx>
        <w:trPr>
          <w:trHeight w:val="286"/>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 xml:space="preserve">                           Saignement parenchymateux</w:t>
            </w:r>
          </w:p>
        </w:tc>
      </w:tr>
      <w:tr w:rsidR="0024395C" w:rsidTr="007544EB">
        <w:tblPrEx>
          <w:tblCellMar>
            <w:top w:w="0" w:type="dxa"/>
            <w:bottom w:w="0" w:type="dxa"/>
          </w:tblCellMar>
        </w:tblPrEx>
        <w:trPr>
          <w:trHeight w:val="253"/>
        </w:trPr>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4395C" w:rsidRDefault="00C839DD" w:rsidP="007544EB">
            <w:pPr>
              <w:pStyle w:val="Standard"/>
              <w:ind w:left="46"/>
            </w:pPr>
            <w:r>
              <w:t>Parenchyme</w:t>
            </w:r>
          </w:p>
        </w:tc>
      </w:tr>
    </w:tbl>
    <w:p w:rsidR="008C58A4" w:rsidRDefault="008C58A4">
      <w:pPr>
        <w:pStyle w:val="Standard"/>
      </w:pPr>
    </w:p>
    <w:p w:rsidR="0024395C" w:rsidRDefault="007544EB">
      <w:pPr>
        <w:pStyle w:val="Standard"/>
      </w:pPr>
      <w:r>
        <w:br w:type="textWrapping" w:clear="all"/>
      </w:r>
    </w:p>
    <w:p w:rsidR="008C58A4" w:rsidRDefault="008C58A4">
      <w:pPr>
        <w:pStyle w:val="Standard"/>
      </w:pPr>
    </w:p>
    <w:p w:rsidR="0024395C" w:rsidRDefault="00C839DD">
      <w:pPr>
        <w:pStyle w:val="Standard"/>
      </w:pPr>
      <w:r>
        <w:t>La cause des hémorragies méningée c'est surtout l’anévrisme (85 %) même si ce n'est évidemment pas la seule. (</w:t>
      </w:r>
      <w:proofErr w:type="gramStart"/>
      <w:r>
        <w:t>idiopathique</w:t>
      </w:r>
      <w:proofErr w:type="gramEnd"/>
      <w:r>
        <w:t xml:space="preserve"> </w:t>
      </w:r>
      <w:proofErr w:type="spellStart"/>
      <w:r>
        <w:t>périmésencéphalique</w:t>
      </w:r>
      <w:proofErr w:type="spellEnd"/>
      <w:r>
        <w:t xml:space="preserve"> 10 %, autres : pathologies infectieuses et </w:t>
      </w:r>
      <w:r>
        <w:t xml:space="preserve">inflammatoires, tumeurs, </w:t>
      </w:r>
      <w:proofErr w:type="spellStart"/>
      <w:r>
        <w:t>coagulopathies</w:t>
      </w:r>
      <w:proofErr w:type="spellEnd"/>
      <w:r>
        <w:t>, cocaïne, anticoagulants, 5%)</w:t>
      </w:r>
    </w:p>
    <w:p w:rsidR="008C58A4" w:rsidRDefault="008C58A4">
      <w:pPr>
        <w:pStyle w:val="Standard"/>
      </w:pPr>
    </w:p>
    <w:p w:rsidR="0024395C" w:rsidRDefault="00C839DD">
      <w:pPr>
        <w:pStyle w:val="Standard"/>
      </w:pPr>
      <w:r>
        <w:t xml:space="preserve">Les anévrismes ne sont pas des malformations congénitales, ils se développent </w:t>
      </w:r>
      <w:proofErr w:type="gramStart"/>
      <w:r>
        <w:t>au cous</w:t>
      </w:r>
      <w:proofErr w:type="gramEnd"/>
      <w:r>
        <w:t xml:space="preserve"> de la vie. Ils ne sont pas tous destiné à saigner, le taux de rupture annuel est seulement de 1 % e</w:t>
      </w:r>
      <w:r>
        <w:t>t ce même si l'on a déjà fait une rupture d’anévrisme.</w:t>
      </w:r>
    </w:p>
    <w:p w:rsidR="0024395C" w:rsidRDefault="00C839DD">
      <w:pPr>
        <w:pStyle w:val="Standard"/>
      </w:pPr>
      <w:r>
        <w:t>Les facteurs de risque d'une rupture d’anévrisme sont : taille (&gt; 9mm), l'existence d'un second sac (plusieurs poches globuleuses), les ruptures sont plus fréquentes sur les artères communicantes (anté</w:t>
      </w:r>
      <w:r>
        <w:t>rieures et postérieures) par rapport à l'artère cérébrale moyenne ou c'est moins fréquent, le tabac, l'alcool et l'HTA.</w:t>
      </w:r>
    </w:p>
    <w:p w:rsidR="0024395C" w:rsidRDefault="00C839DD">
      <w:pPr>
        <w:pStyle w:val="Standard"/>
      </w:pPr>
      <w:r>
        <w:lastRenderedPageBreak/>
        <w:t>En général on découvre ces anévrismes sur des troubles neurologiques et on peut facilement constater la progression ou non des lésions.</w:t>
      </w:r>
    </w:p>
    <w:p w:rsidR="008C58A4" w:rsidRDefault="008C58A4">
      <w:pPr>
        <w:pStyle w:val="Standard"/>
      </w:pPr>
    </w:p>
    <w:p w:rsidR="0024395C" w:rsidRDefault="00C839DD">
      <w:pPr>
        <w:pStyle w:val="Standard"/>
        <w:numPr>
          <w:ilvl w:val="0"/>
          <w:numId w:val="2"/>
        </w:numPr>
      </w:pPr>
      <w:r>
        <w:t>L'hémorragie méningée non traumatique </w:t>
      </w:r>
      <w:r>
        <w:rPr>
          <w:b/>
          <w:bCs/>
        </w:rPr>
        <w:t>: présentation clinique (++)</w:t>
      </w:r>
    </w:p>
    <w:p w:rsidR="0024395C" w:rsidRDefault="0024395C">
      <w:pPr>
        <w:pStyle w:val="Standard"/>
      </w:pPr>
    </w:p>
    <w:p w:rsidR="0024395C" w:rsidRDefault="00C839DD">
      <w:pPr>
        <w:pStyle w:val="Standard"/>
      </w:pPr>
      <w:r>
        <w:t xml:space="preserve">Ce sont des </w:t>
      </w:r>
      <w:r>
        <w:rPr>
          <w:b/>
          <w:bCs/>
        </w:rPr>
        <w:t>céphalées brutales en coup de tonnerre, inhabituelles</w:t>
      </w:r>
      <w:r>
        <w:t>.</w:t>
      </w:r>
    </w:p>
    <w:p w:rsidR="0024395C" w:rsidRDefault="00C839DD">
      <w:pPr>
        <w:pStyle w:val="Standard"/>
      </w:pPr>
      <w:r>
        <w:t>Le patient reste conscient (1/3 des cas) après une sensation de malaise. Parfois il peut y avoir une perte de conscience</w:t>
      </w:r>
      <w:r>
        <w:t xml:space="preserve"> provisoire (due à l’augmentation brutale de la pression intracrânienne puis il y a un certain rétablissement et donc une reprise de la conscience) ou une crise convulsive (d'épilepsie) ou un trouble de la conscience prolongé du à une augmentation de la pr</w:t>
      </w:r>
      <w:r>
        <w:t>ession intracrânienne permanente (hémorragie massive, hématome compressif, hydrocéphalie)</w:t>
      </w:r>
    </w:p>
    <w:p w:rsidR="0024395C" w:rsidRDefault="0024395C">
      <w:pPr>
        <w:pStyle w:val="Standard"/>
      </w:pPr>
    </w:p>
    <w:p w:rsidR="0024395C" w:rsidRDefault="00C839DD">
      <w:pPr>
        <w:pStyle w:val="Standard"/>
        <w:numPr>
          <w:ilvl w:val="0"/>
          <w:numId w:val="3"/>
        </w:numPr>
      </w:pPr>
      <w:r>
        <w:t>A l'</w:t>
      </w:r>
      <w:r>
        <w:rPr>
          <w:b/>
          <w:bCs/>
        </w:rPr>
        <w:t>examen clinique</w:t>
      </w:r>
      <w:r>
        <w:t xml:space="preserve"> on retrouve  </w:t>
      </w:r>
    </w:p>
    <w:p w:rsidR="0024395C" w:rsidRDefault="0024395C">
      <w:pPr>
        <w:pStyle w:val="Standard"/>
      </w:pPr>
    </w:p>
    <w:p w:rsidR="0024395C" w:rsidRDefault="00C839DD">
      <w:pPr>
        <w:pStyle w:val="Standard"/>
      </w:pPr>
      <w:r>
        <w:t xml:space="preserve">_         </w:t>
      </w:r>
      <w:proofErr w:type="gramStart"/>
      <w:r>
        <w:t>un</w:t>
      </w:r>
      <w:proofErr w:type="gramEnd"/>
      <w:r>
        <w:t xml:space="preserve"> </w:t>
      </w:r>
      <w:r>
        <w:rPr>
          <w:b/>
          <w:bCs/>
        </w:rPr>
        <w:t>syndrome méningé</w:t>
      </w:r>
      <w:r>
        <w:t xml:space="preserve"> avec : céphalées raideur de nuque, photophobie, syndrome               </w:t>
      </w:r>
    </w:p>
    <w:p w:rsidR="0024395C" w:rsidRDefault="00C839DD">
      <w:pPr>
        <w:pStyle w:val="Standard"/>
      </w:pPr>
      <w:r>
        <w:t xml:space="preserve">            </w:t>
      </w:r>
      <w:proofErr w:type="gramStart"/>
      <w:r>
        <w:t>pyramidal</w:t>
      </w:r>
      <w:proofErr w:type="gramEnd"/>
    </w:p>
    <w:p w:rsidR="0024395C" w:rsidRDefault="00C839DD">
      <w:pPr>
        <w:pStyle w:val="Standard"/>
        <w:numPr>
          <w:ilvl w:val="0"/>
          <w:numId w:val="4"/>
        </w:numPr>
      </w:pPr>
      <w:r>
        <w:t xml:space="preserve">un </w:t>
      </w:r>
      <w:r>
        <w:rPr>
          <w:b/>
          <w:bCs/>
        </w:rPr>
        <w:t>déficit moteur</w:t>
      </w:r>
      <w:r>
        <w:t> : qui signifie qu'on a un hématome d'emblée, ce n'est pas classique</w:t>
      </w:r>
    </w:p>
    <w:p w:rsidR="0024395C" w:rsidRDefault="00C839DD">
      <w:pPr>
        <w:pStyle w:val="Standard"/>
        <w:numPr>
          <w:ilvl w:val="0"/>
          <w:numId w:val="4"/>
        </w:numPr>
      </w:pPr>
      <w:r>
        <w:t xml:space="preserve">un </w:t>
      </w:r>
      <w:r>
        <w:rPr>
          <w:b/>
          <w:bCs/>
        </w:rPr>
        <w:t>trouble de l'</w:t>
      </w:r>
      <w:proofErr w:type="spellStart"/>
      <w:r>
        <w:rPr>
          <w:b/>
          <w:bCs/>
        </w:rPr>
        <w:t>occulo</w:t>
      </w:r>
      <w:proofErr w:type="spellEnd"/>
      <w:r>
        <w:rPr>
          <w:b/>
          <w:bCs/>
        </w:rPr>
        <w:t>-motricité</w:t>
      </w:r>
      <w:r>
        <w:t> : atteinte du III (mydriase) lésion directe du nerf du à un anévrisme à l'origine de l'artère communicante postérieure. Ou atteinte du VI (l</w:t>
      </w:r>
      <w:r>
        <w:t>atéralisation du regard dû à l'hypertension intracrânienne)</w:t>
      </w:r>
    </w:p>
    <w:p w:rsidR="0024395C" w:rsidRDefault="00C839DD">
      <w:pPr>
        <w:pStyle w:val="Standard"/>
        <w:numPr>
          <w:ilvl w:val="0"/>
          <w:numId w:val="5"/>
        </w:numPr>
      </w:pPr>
      <w:r>
        <w:rPr>
          <w:b/>
          <w:bCs/>
        </w:rPr>
        <w:t>HTA</w:t>
      </w:r>
      <w:r>
        <w:t xml:space="preserve"> (réflexe du cushing : l'augmentation de la pression intracrânienne provoque une augmentation de l'HTA pour augmenter la perfusion cérébrale)</w:t>
      </w:r>
    </w:p>
    <w:p w:rsidR="0024395C" w:rsidRDefault="00C839DD">
      <w:pPr>
        <w:pStyle w:val="Standard"/>
        <w:numPr>
          <w:ilvl w:val="0"/>
          <w:numId w:val="5"/>
        </w:numPr>
        <w:rPr>
          <w:b/>
          <w:bCs/>
        </w:rPr>
      </w:pPr>
      <w:r>
        <w:rPr>
          <w:b/>
          <w:bCs/>
        </w:rPr>
        <w:t>infarctus ou cardiopathie ischémique</w:t>
      </w:r>
    </w:p>
    <w:p w:rsidR="0024395C" w:rsidRDefault="0024395C">
      <w:pPr>
        <w:pStyle w:val="Standard"/>
      </w:pPr>
    </w:p>
    <w:p w:rsidR="0024395C" w:rsidRDefault="00C839DD">
      <w:pPr>
        <w:pStyle w:val="Standard"/>
      </w:pPr>
      <w:r>
        <w:t xml:space="preserve">Ensuite </w:t>
      </w:r>
      <w:r>
        <w:rPr>
          <w:b/>
          <w:bCs/>
        </w:rPr>
        <w:t>on év</w:t>
      </w:r>
      <w:r>
        <w:rPr>
          <w:b/>
          <w:bCs/>
        </w:rPr>
        <w:t>alue la gravité de l'hémorragie grâce à l'échelle WFNS</w:t>
      </w:r>
      <w:r>
        <w:t xml:space="preserve"> qui permet d'être reproductible et de pouvoir comparer les cas.</w:t>
      </w:r>
    </w:p>
    <w:p w:rsidR="008C58A4" w:rsidRDefault="008C58A4">
      <w:pPr>
        <w:pStyle w:val="Standard"/>
      </w:pPr>
    </w:p>
    <w:p w:rsidR="0024395C" w:rsidRDefault="00C839DD">
      <w:pPr>
        <w:pStyle w:val="Standard"/>
      </w:pPr>
      <w:r>
        <w:t>Echelle WFNS :</w:t>
      </w:r>
    </w:p>
    <w:tbl>
      <w:tblPr>
        <w:tblW w:w="9600" w:type="dxa"/>
        <w:tblInd w:w="51" w:type="dxa"/>
        <w:tblLayout w:type="fixed"/>
        <w:tblCellMar>
          <w:left w:w="10" w:type="dxa"/>
          <w:right w:w="10" w:type="dxa"/>
        </w:tblCellMar>
        <w:tblLook w:val="0000"/>
      </w:tblPr>
      <w:tblGrid>
        <w:gridCol w:w="3165"/>
        <w:gridCol w:w="3210"/>
        <w:gridCol w:w="3225"/>
      </w:tblGrid>
      <w:tr w:rsidR="0024395C" w:rsidTr="0024395C">
        <w:tblPrEx>
          <w:tblCellMar>
            <w:top w:w="0" w:type="dxa"/>
            <w:bottom w:w="0" w:type="dxa"/>
          </w:tblCellMar>
        </w:tblPrEx>
        <w:tc>
          <w:tcPr>
            <w:tcW w:w="31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w:t>
            </w:r>
          </w:p>
        </w:tc>
        <w:tc>
          <w:tcPr>
            <w:tcW w:w="3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Glasgow</w:t>
            </w:r>
          </w:p>
        </w:tc>
        <w:tc>
          <w:tcPr>
            <w:tcW w:w="32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Déficit moteur</w:t>
            </w:r>
          </w:p>
        </w:tc>
      </w:tr>
      <w:tr w:rsidR="0024395C" w:rsidTr="0024395C">
        <w:tblPrEx>
          <w:tblCellMar>
            <w:top w:w="0" w:type="dxa"/>
            <w:bottom w:w="0" w:type="dxa"/>
          </w:tblCellMar>
        </w:tblPrEx>
        <w:tc>
          <w:tcPr>
            <w:tcW w:w="3165"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 I</w:t>
            </w:r>
          </w:p>
        </w:tc>
        <w:tc>
          <w:tcPr>
            <w:tcW w:w="321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15</w:t>
            </w:r>
          </w:p>
        </w:tc>
        <w:tc>
          <w:tcPr>
            <w:tcW w:w="32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absent</w:t>
            </w:r>
          </w:p>
        </w:tc>
      </w:tr>
      <w:tr w:rsidR="0024395C" w:rsidTr="0024395C">
        <w:tblPrEx>
          <w:tblCellMar>
            <w:top w:w="0" w:type="dxa"/>
            <w:bottom w:w="0" w:type="dxa"/>
          </w:tblCellMar>
        </w:tblPrEx>
        <w:tc>
          <w:tcPr>
            <w:tcW w:w="3165"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 II</w:t>
            </w:r>
          </w:p>
        </w:tc>
        <w:tc>
          <w:tcPr>
            <w:tcW w:w="321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14-13</w:t>
            </w:r>
          </w:p>
        </w:tc>
        <w:tc>
          <w:tcPr>
            <w:tcW w:w="32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absent</w:t>
            </w:r>
          </w:p>
        </w:tc>
      </w:tr>
      <w:tr w:rsidR="0024395C" w:rsidTr="0024395C">
        <w:tblPrEx>
          <w:tblCellMar>
            <w:top w:w="0" w:type="dxa"/>
            <w:bottom w:w="0" w:type="dxa"/>
          </w:tblCellMar>
        </w:tblPrEx>
        <w:tc>
          <w:tcPr>
            <w:tcW w:w="3165"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 III</w:t>
            </w:r>
          </w:p>
        </w:tc>
        <w:tc>
          <w:tcPr>
            <w:tcW w:w="321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14-13</w:t>
            </w:r>
          </w:p>
        </w:tc>
        <w:tc>
          <w:tcPr>
            <w:tcW w:w="32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présent</w:t>
            </w:r>
          </w:p>
        </w:tc>
      </w:tr>
      <w:tr w:rsidR="0024395C" w:rsidTr="0024395C">
        <w:tblPrEx>
          <w:tblCellMar>
            <w:top w:w="0" w:type="dxa"/>
            <w:bottom w:w="0" w:type="dxa"/>
          </w:tblCellMar>
        </w:tblPrEx>
        <w:tc>
          <w:tcPr>
            <w:tcW w:w="3165"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 IV</w:t>
            </w:r>
          </w:p>
        </w:tc>
        <w:tc>
          <w:tcPr>
            <w:tcW w:w="321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12-7</w:t>
            </w:r>
          </w:p>
        </w:tc>
        <w:tc>
          <w:tcPr>
            <w:tcW w:w="32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Présent/absent</w:t>
            </w:r>
          </w:p>
        </w:tc>
      </w:tr>
      <w:tr w:rsidR="0024395C" w:rsidTr="0024395C">
        <w:tblPrEx>
          <w:tblCellMar>
            <w:top w:w="0" w:type="dxa"/>
            <w:bottom w:w="0" w:type="dxa"/>
          </w:tblCellMar>
        </w:tblPrEx>
        <w:tc>
          <w:tcPr>
            <w:tcW w:w="3165"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 V</w:t>
            </w:r>
          </w:p>
        </w:tc>
        <w:tc>
          <w:tcPr>
            <w:tcW w:w="321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6-3</w:t>
            </w:r>
          </w:p>
        </w:tc>
        <w:tc>
          <w:tcPr>
            <w:tcW w:w="32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Présent/absent</w:t>
            </w:r>
          </w:p>
        </w:tc>
      </w:tr>
    </w:tbl>
    <w:p w:rsidR="008C58A4" w:rsidRDefault="008C58A4">
      <w:pPr>
        <w:pStyle w:val="Standard"/>
      </w:pPr>
    </w:p>
    <w:p w:rsidR="0024395C" w:rsidRDefault="00C839DD">
      <w:pPr>
        <w:pStyle w:val="Standard"/>
        <w:numPr>
          <w:ilvl w:val="0"/>
          <w:numId w:val="6"/>
        </w:numPr>
      </w:pPr>
      <w:r>
        <w:t xml:space="preserve">Puis on réalise un </w:t>
      </w:r>
      <w:r>
        <w:rPr>
          <w:b/>
          <w:bCs/>
        </w:rPr>
        <w:t>scanner cérébral sans injection</w:t>
      </w:r>
      <w:r>
        <w:t> :</w:t>
      </w:r>
    </w:p>
    <w:p w:rsidR="0024395C" w:rsidRDefault="0024395C">
      <w:pPr>
        <w:pStyle w:val="Standard"/>
      </w:pPr>
    </w:p>
    <w:p w:rsidR="0024395C" w:rsidRDefault="00C839DD">
      <w:pPr>
        <w:pStyle w:val="Standard"/>
      </w:pPr>
      <w:r>
        <w:t>-</w:t>
      </w:r>
      <w:r>
        <w:rPr>
          <w:b/>
          <w:bCs/>
        </w:rPr>
        <w:t xml:space="preserve">mise en évidence de sang </w:t>
      </w:r>
      <w:r>
        <w:t>dans les espaces sous arachnoïdiens et les citernes de base (95 % des cas)</w:t>
      </w:r>
    </w:p>
    <w:p w:rsidR="0024395C" w:rsidRDefault="00C839DD">
      <w:pPr>
        <w:pStyle w:val="Standard"/>
      </w:pPr>
      <w:r>
        <w:t xml:space="preserve">-détermination du </w:t>
      </w:r>
      <w:r>
        <w:rPr>
          <w:b/>
          <w:bCs/>
        </w:rPr>
        <w:t>grade Fisher</w:t>
      </w:r>
    </w:p>
    <w:tbl>
      <w:tblPr>
        <w:tblW w:w="10569" w:type="dxa"/>
        <w:tblInd w:w="-339" w:type="dxa"/>
        <w:tblLayout w:type="fixed"/>
        <w:tblCellMar>
          <w:left w:w="10" w:type="dxa"/>
          <w:right w:w="10" w:type="dxa"/>
        </w:tblCellMar>
        <w:tblLook w:val="0000"/>
      </w:tblPr>
      <w:tblGrid>
        <w:gridCol w:w="1590"/>
        <w:gridCol w:w="4920"/>
        <w:gridCol w:w="4059"/>
      </w:tblGrid>
      <w:tr w:rsidR="0024395C" w:rsidTr="0024395C">
        <w:tblPrEx>
          <w:tblCellMar>
            <w:top w:w="0" w:type="dxa"/>
            <w:bottom w:w="0" w:type="dxa"/>
          </w:tblCellMar>
        </w:tblPrEx>
        <w:tc>
          <w:tcPr>
            <w:tcW w:w="1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Grade Fisher</w:t>
            </w:r>
          </w:p>
        </w:tc>
        <w:tc>
          <w:tcPr>
            <w:tcW w:w="4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Description</w:t>
            </w:r>
          </w:p>
        </w:tc>
        <w:tc>
          <w:tcPr>
            <w:tcW w:w="40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Diagnostic</w:t>
            </w:r>
          </w:p>
        </w:tc>
      </w:tr>
      <w:tr w:rsidR="0024395C" w:rsidTr="0024395C">
        <w:tblPrEx>
          <w:tblCellMar>
            <w:top w:w="0" w:type="dxa"/>
            <w:bottom w:w="0" w:type="dxa"/>
          </w:tblCellMar>
        </w:tblPrEx>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1</w:t>
            </w:r>
          </w:p>
        </w:tc>
        <w:tc>
          <w:tcPr>
            <w:tcW w:w="492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Pas de sang visible au scanner</w:t>
            </w:r>
          </w:p>
        </w:tc>
        <w:tc>
          <w:tcPr>
            <w:tcW w:w="4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proofErr w:type="spellStart"/>
            <w:r>
              <w:t>Diag</w:t>
            </w:r>
            <w:proofErr w:type="spellEnd"/>
            <w:r>
              <w:t xml:space="preserve"> sur la PL</w:t>
            </w:r>
          </w:p>
        </w:tc>
      </w:tr>
      <w:tr w:rsidR="0024395C" w:rsidTr="0024395C">
        <w:tblPrEx>
          <w:tblCellMar>
            <w:top w:w="0" w:type="dxa"/>
            <w:bottom w:w="0" w:type="dxa"/>
          </w:tblCellMar>
        </w:tblPrEx>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2</w:t>
            </w:r>
          </w:p>
        </w:tc>
        <w:tc>
          <w:tcPr>
            <w:tcW w:w="492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Diffus sans véritable hématome (&lt;1cm d'épaisseur)</w:t>
            </w:r>
          </w:p>
        </w:tc>
        <w:tc>
          <w:tcPr>
            <w:tcW w:w="405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proofErr w:type="spellStart"/>
            <w:r>
              <w:t>Diag</w:t>
            </w:r>
            <w:proofErr w:type="spellEnd"/>
            <w:r>
              <w:t xml:space="preserve"> au scanner : pour déterminer l'épaisseur d'un hématome, on considère que si l'hématome est présent sur 2 clichés successifs, il est &gt; 1cm</w:t>
            </w:r>
          </w:p>
        </w:tc>
      </w:tr>
      <w:tr w:rsidR="0024395C" w:rsidTr="0024395C">
        <w:tblPrEx>
          <w:tblCellMar>
            <w:top w:w="0" w:type="dxa"/>
            <w:bottom w:w="0" w:type="dxa"/>
          </w:tblCellMar>
        </w:tblPrEx>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3</w:t>
            </w:r>
          </w:p>
        </w:tc>
        <w:tc>
          <w:tcPr>
            <w:tcW w:w="492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Hématome localisé et/ou épaisseur &gt;1cm</w:t>
            </w:r>
          </w:p>
        </w:tc>
        <w:tc>
          <w:tcPr>
            <w:tcW w:w="405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24395C"/>
        </w:tc>
      </w:tr>
      <w:tr w:rsidR="0024395C" w:rsidTr="0024395C">
        <w:tblPrEx>
          <w:tblCellMar>
            <w:top w:w="0" w:type="dxa"/>
            <w:bottom w:w="0" w:type="dxa"/>
          </w:tblCellMar>
        </w:tblPrEx>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4</w:t>
            </w:r>
          </w:p>
        </w:tc>
        <w:tc>
          <w:tcPr>
            <w:tcW w:w="4920" w:type="dxa"/>
            <w:tcBorders>
              <w:left w:val="single" w:sz="2" w:space="0" w:color="000000"/>
              <w:bottom w:val="single" w:sz="2" w:space="0" w:color="000000"/>
            </w:tcBorders>
            <w:shd w:val="clear" w:color="auto" w:fill="auto"/>
            <w:tcMar>
              <w:top w:w="55" w:type="dxa"/>
              <w:left w:w="55" w:type="dxa"/>
              <w:bottom w:w="55" w:type="dxa"/>
              <w:right w:w="55" w:type="dxa"/>
            </w:tcMar>
          </w:tcPr>
          <w:p w:rsidR="0024395C" w:rsidRDefault="00C839DD">
            <w:pPr>
              <w:pStyle w:val="TableContents"/>
              <w:jc w:val="center"/>
            </w:pPr>
            <w:r>
              <w:t xml:space="preserve">Hématome intracérébral ou </w:t>
            </w:r>
            <w:proofErr w:type="spellStart"/>
            <w:r>
              <w:t>intraventriculaire</w:t>
            </w:r>
            <w:proofErr w:type="spellEnd"/>
            <w:r>
              <w:t xml:space="preserve"> avec ou sans hémorragie </w:t>
            </w:r>
            <w:proofErr w:type="spellStart"/>
            <w:r>
              <w:t>arachnoidienne</w:t>
            </w:r>
            <w:proofErr w:type="spellEnd"/>
            <w:r>
              <w:t xml:space="preserve"> diffuse</w:t>
            </w:r>
          </w:p>
        </w:tc>
        <w:tc>
          <w:tcPr>
            <w:tcW w:w="40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395C" w:rsidRDefault="00C839DD">
            <w:pPr>
              <w:pStyle w:val="TableContents"/>
              <w:jc w:val="center"/>
            </w:pPr>
            <w:proofErr w:type="spellStart"/>
            <w:r>
              <w:t>Diag</w:t>
            </w:r>
            <w:proofErr w:type="spellEnd"/>
            <w:r>
              <w:t xml:space="preserve"> au scanner : hydrocéphalie +</w:t>
            </w:r>
          </w:p>
        </w:tc>
      </w:tr>
    </w:tbl>
    <w:p w:rsidR="008C58A4" w:rsidRDefault="008C58A4">
      <w:pPr>
        <w:pStyle w:val="Standard"/>
      </w:pPr>
    </w:p>
    <w:p w:rsidR="0024395C" w:rsidRDefault="00C839DD">
      <w:pPr>
        <w:pStyle w:val="Standard"/>
      </w:pPr>
      <w:r>
        <w:t>-</w:t>
      </w:r>
      <w:r>
        <w:rPr>
          <w:b/>
          <w:bCs/>
        </w:rPr>
        <w:t>détection des complications précoces</w:t>
      </w:r>
      <w:r>
        <w:t xml:space="preserve"> de l'hémorragie sous </w:t>
      </w:r>
      <w:proofErr w:type="spellStart"/>
      <w:r>
        <w:t>arachnoidienne</w:t>
      </w:r>
      <w:proofErr w:type="spellEnd"/>
      <w:r>
        <w:t xml:space="preserve"> </w:t>
      </w:r>
      <w:r>
        <w:t>(hydrocéphalie, hématome)</w:t>
      </w:r>
    </w:p>
    <w:p w:rsidR="0024395C" w:rsidRDefault="00C839DD">
      <w:pPr>
        <w:pStyle w:val="Standard"/>
      </w:pPr>
      <w:r>
        <w:t xml:space="preserve">                   </w:t>
      </w:r>
      <w:r>
        <w:rPr>
          <w:b/>
          <w:bCs/>
        </w:rPr>
        <w:t>si positif</w:t>
      </w:r>
      <w:r>
        <w:t xml:space="preserve"> (hémorragie méningée au scanner</w:t>
      </w:r>
      <w:proofErr w:type="gramStart"/>
      <w:r>
        <w:t>)→</w:t>
      </w:r>
      <w:proofErr w:type="gramEnd"/>
      <w:r>
        <w:t xml:space="preserve"> prise en charge en </w:t>
      </w:r>
      <w:r>
        <w:rPr>
          <w:b/>
          <w:bCs/>
        </w:rPr>
        <w:t>neurochirurgie</w:t>
      </w:r>
    </w:p>
    <w:p w:rsidR="0024395C" w:rsidRDefault="00C839DD">
      <w:pPr>
        <w:pStyle w:val="Standard"/>
      </w:pPr>
      <w:r>
        <w:t xml:space="preserve">                   </w:t>
      </w:r>
      <w:proofErr w:type="gramStart"/>
      <w:r>
        <w:rPr>
          <w:b/>
          <w:bCs/>
        </w:rPr>
        <w:t>si</w:t>
      </w:r>
      <w:proofErr w:type="gramEnd"/>
      <w:r>
        <w:rPr>
          <w:b/>
          <w:bCs/>
        </w:rPr>
        <w:t xml:space="preserve"> négatif </w:t>
      </w:r>
      <w:r>
        <w:t>(pas d'hémorragie au scanner)       →</w:t>
      </w:r>
      <w:r>
        <w:rPr>
          <w:b/>
          <w:bCs/>
        </w:rPr>
        <w:t xml:space="preserve"> Ponction lombaire</w:t>
      </w:r>
    </w:p>
    <w:p w:rsidR="0024395C" w:rsidRDefault="00C839DD">
      <w:pPr>
        <w:pStyle w:val="Standard"/>
      </w:pPr>
      <w:r>
        <w:t xml:space="preserve">                                              </w:t>
      </w:r>
      <w:r>
        <w:t xml:space="preserve"> </w:t>
      </w:r>
      <w:proofErr w:type="gramStart"/>
      <w:r>
        <w:rPr>
          <w:b/>
          <w:bCs/>
        </w:rPr>
        <w:t>si</w:t>
      </w:r>
      <w:proofErr w:type="gramEnd"/>
      <w:r>
        <w:rPr>
          <w:b/>
          <w:bCs/>
        </w:rPr>
        <w:t xml:space="preserve"> positif </w:t>
      </w:r>
      <w:r>
        <w:t xml:space="preserve">(LCR hématogène) → prise en charge en </w:t>
      </w:r>
      <w:r>
        <w:rPr>
          <w:b/>
          <w:bCs/>
        </w:rPr>
        <w:t>neurochirurgie</w:t>
      </w:r>
    </w:p>
    <w:p w:rsidR="0024395C" w:rsidRDefault="00C839DD">
      <w:pPr>
        <w:pStyle w:val="Standard"/>
      </w:pPr>
      <w:r>
        <w:t xml:space="preserve">                                               </w:t>
      </w:r>
      <w:proofErr w:type="gramStart"/>
      <w:r>
        <w:rPr>
          <w:b/>
          <w:bCs/>
        </w:rPr>
        <w:t>si</w:t>
      </w:r>
      <w:proofErr w:type="gramEnd"/>
      <w:r>
        <w:rPr>
          <w:b/>
          <w:bCs/>
        </w:rPr>
        <w:t xml:space="preserve"> négatif </w:t>
      </w:r>
      <w:r>
        <w:t xml:space="preserve">(LCR Normal)       → </w:t>
      </w:r>
      <w:r>
        <w:rPr>
          <w:b/>
          <w:bCs/>
        </w:rPr>
        <w:t>diagnostic éliminé</w:t>
      </w:r>
    </w:p>
    <w:p w:rsidR="0024395C" w:rsidRDefault="0024395C">
      <w:pPr>
        <w:pStyle w:val="Standard"/>
      </w:pPr>
    </w:p>
    <w:p w:rsidR="008C58A4" w:rsidRDefault="008C58A4">
      <w:pPr>
        <w:pStyle w:val="Standard"/>
      </w:pPr>
    </w:p>
    <w:p w:rsidR="0024395C" w:rsidRDefault="00C839DD">
      <w:pPr>
        <w:pStyle w:val="Standard"/>
      </w:pPr>
      <w:r>
        <w:t xml:space="preserve">Attention : un scanner ne montrant pas d'hémorragie méningée n'élimine pas le diagnostic si </w:t>
      </w:r>
      <w:r>
        <w:t>les signes cliniques sont évocateurs !! En effet, il peut y avoir un effet de rinçage du LCR (élimination du sang, ou dissémination diffuse dans le LCR) d'où la nécessité de la PL si le scanner est normal !!</w:t>
      </w:r>
    </w:p>
    <w:p w:rsidR="0024395C" w:rsidRDefault="00C839DD">
      <w:pPr>
        <w:pStyle w:val="Standard"/>
      </w:pPr>
      <w:r>
        <w:t xml:space="preserve">La </w:t>
      </w:r>
      <w:r>
        <w:rPr>
          <w:b/>
          <w:bCs/>
        </w:rPr>
        <w:t>PL normale</w:t>
      </w:r>
      <w:r>
        <w:t xml:space="preserve"> ensuite élimine le diagnostic.</w:t>
      </w:r>
    </w:p>
    <w:p w:rsidR="0024395C" w:rsidRDefault="00C839DD">
      <w:pPr>
        <w:pStyle w:val="Standard"/>
      </w:pPr>
      <w:r>
        <w:t xml:space="preserve">La </w:t>
      </w:r>
      <w:r>
        <w:rPr>
          <w:b/>
          <w:bCs/>
        </w:rPr>
        <w:t>PL est évocatrice</w:t>
      </w:r>
      <w:r>
        <w:t xml:space="preserve"> si le LCR est rouge, non coagulable ou s'il est xanthochromique (jaunâtre) 1-2 jours après le saignement. Mais pas certaine ! Il peut y avoir de nombreux faux positifs (défaut de prélèvement)</w:t>
      </w:r>
    </w:p>
    <w:p w:rsidR="0024395C" w:rsidRDefault="00C839DD">
      <w:pPr>
        <w:pStyle w:val="Standard"/>
      </w:pPr>
      <w:r>
        <w:rPr>
          <w:b/>
          <w:bCs/>
        </w:rPr>
        <w:t>Si la PL est douteuse</w:t>
      </w:r>
      <w:r>
        <w:t> : on peut réaliser un IR</w:t>
      </w:r>
      <w:r>
        <w:t xml:space="preserve">M FLAIR à 3-4 jours du saignement. L'hémorragie apparaît alors en </w:t>
      </w:r>
      <w:r>
        <w:rPr>
          <w:b/>
          <w:bCs/>
        </w:rPr>
        <w:t>hyperdensité.</w:t>
      </w:r>
    </w:p>
    <w:p w:rsidR="0024395C" w:rsidRDefault="0024395C">
      <w:pPr>
        <w:pStyle w:val="Standard"/>
      </w:pPr>
    </w:p>
    <w:p w:rsidR="008C58A4" w:rsidRDefault="008C58A4">
      <w:pPr>
        <w:pStyle w:val="Standard"/>
      </w:pPr>
    </w:p>
    <w:p w:rsidR="0024395C" w:rsidRDefault="00C839DD">
      <w:pPr>
        <w:pStyle w:val="Standard"/>
      </w:pPr>
      <w:r>
        <w:rPr>
          <w:i/>
          <w:iCs/>
        </w:rPr>
        <w:t>Pour les puristes qui se sont aperçu que le liquide apparaissait en hypodensité à l'IRM FLAIR : l'explication c'est qu'en fait en aigu le sang est solide ! On ne le voit jamai</w:t>
      </w:r>
      <w:r>
        <w:rPr>
          <w:i/>
          <w:iCs/>
        </w:rPr>
        <w:t xml:space="preserve">s avant qu'il </w:t>
      </w:r>
      <w:proofErr w:type="gramStart"/>
      <w:r>
        <w:rPr>
          <w:i/>
          <w:iCs/>
        </w:rPr>
        <w:t>ai</w:t>
      </w:r>
      <w:proofErr w:type="gramEnd"/>
      <w:r>
        <w:rPr>
          <w:i/>
          <w:iCs/>
        </w:rPr>
        <w:t xml:space="preserve"> déjà un peu coagulé, parce qu'on fait rarement une IRM au moment même ou le mec fait une hémorragie, on la fait quelques heures plus tard, du coup quand on voit une hémorragie méningée la consistance ressemble déjà plus à « une gelée de gr</w:t>
      </w:r>
      <w:r>
        <w:rPr>
          <w:i/>
          <w:iCs/>
        </w:rPr>
        <w:t xml:space="preserve">oseille » et non à une flaque, d'où l'hyperdensité !! Et le piège ultime c'est qu'en chronique le sang est liquide ! Parce qu'il nécrose et donc se </w:t>
      </w:r>
      <w:proofErr w:type="spellStart"/>
      <w:r>
        <w:rPr>
          <w:i/>
          <w:iCs/>
        </w:rPr>
        <w:t>re</w:t>
      </w:r>
      <w:proofErr w:type="spellEnd"/>
      <w:r>
        <w:rPr>
          <w:i/>
          <w:iCs/>
        </w:rPr>
        <w:t>-liquéfie avec un aspect en « jus de pruneau ». Du coup il apparaît à ce moment là en hypodensité. (Oui mo</w:t>
      </w:r>
      <w:r>
        <w:rPr>
          <w:i/>
          <w:iCs/>
        </w:rPr>
        <w:t>i aussi je trouve que c'est nul)</w:t>
      </w:r>
    </w:p>
    <w:p w:rsidR="0024395C" w:rsidRDefault="0024395C">
      <w:pPr>
        <w:pStyle w:val="Standard"/>
      </w:pPr>
    </w:p>
    <w:p w:rsidR="008C58A4" w:rsidRDefault="008C58A4">
      <w:pPr>
        <w:pStyle w:val="Standard"/>
      </w:pPr>
    </w:p>
    <w:p w:rsidR="0024395C" w:rsidRDefault="00C839DD">
      <w:pPr>
        <w:pStyle w:val="Standard"/>
      </w:pPr>
      <w:r>
        <w:rPr>
          <w:b/>
          <w:bCs/>
        </w:rPr>
        <w:t>Si la PL est douteuse</w:t>
      </w:r>
      <w:r>
        <w:t xml:space="preserve">  on peut aussi rechercher des anévrismes </w:t>
      </w:r>
      <w:r>
        <w:rPr>
          <w:b/>
          <w:bCs/>
        </w:rPr>
        <w:t xml:space="preserve">en urgence (risque de </w:t>
      </w:r>
      <w:proofErr w:type="spellStart"/>
      <w:r>
        <w:rPr>
          <w:b/>
          <w:bCs/>
        </w:rPr>
        <w:t>resaignement</w:t>
      </w:r>
      <w:proofErr w:type="spellEnd"/>
      <w:r>
        <w:rPr>
          <w:b/>
          <w:bCs/>
        </w:rPr>
        <w:t xml:space="preserve"> maximal dans les 24h) </w:t>
      </w:r>
      <w:r>
        <w:t>car une deuxième rupture d’anévrisme est toujours plus grave que la première : hémorragie plus abondan</w:t>
      </w:r>
      <w:r>
        <w:t>te sur cerveau déjà endommagé.</w:t>
      </w:r>
    </w:p>
    <w:p w:rsidR="0024395C" w:rsidRDefault="00C839DD">
      <w:pPr>
        <w:pStyle w:val="Standard"/>
      </w:pPr>
      <w:r>
        <w:t xml:space="preserve">Et pour cela on fait un </w:t>
      </w:r>
      <w:proofErr w:type="spellStart"/>
      <w:r>
        <w:rPr>
          <w:b/>
          <w:bCs/>
        </w:rPr>
        <w:t>agioscanner</w:t>
      </w:r>
      <w:proofErr w:type="spellEnd"/>
      <w:r>
        <w:t xml:space="preserve"> parce que c'est rapide, sensible/spécifique à 95 % et parce que l'artériographie (l'examen de référence) même s'il est plus précis, est plus invasif et plus difficile à mettre en œuvre. Du </w:t>
      </w:r>
      <w:r>
        <w:t>coup on ne le fait qu'en subaigu.</w:t>
      </w:r>
    </w:p>
    <w:p w:rsidR="0024395C" w:rsidRDefault="0024395C">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8C58A4" w:rsidRDefault="008C58A4">
      <w:pPr>
        <w:pStyle w:val="Standard"/>
      </w:pPr>
    </w:p>
    <w:p w:rsidR="0024395C" w:rsidRDefault="00C839DD">
      <w:pPr>
        <w:pStyle w:val="Standard"/>
      </w:pPr>
      <w:r>
        <w:rPr>
          <w:i/>
          <w:iCs/>
        </w:rPr>
        <w:lastRenderedPageBreak/>
        <w:t>Bilan : démarche diagnostique hémorragie méningée non traumatique :</w:t>
      </w:r>
    </w:p>
    <w:p w:rsidR="0024395C" w:rsidRDefault="0024395C">
      <w:pPr>
        <w:pStyle w:val="Standard"/>
      </w:pPr>
      <w:r>
        <w:rPr>
          <w:b/>
          <w:bCs/>
        </w:rPr>
        <w:pict>
          <v:shape id="AutoShape 3" o:spid="_x0000_s1027" style="position:absolute;margin-left:169.7pt;margin-top:10.65pt;width:105.15pt;height:21.8pt;z-index:251647488;visibility:visible" coordsize="1410120,276480" o:spt="100" adj="-11796480,,5400" path="m,l1410120,r,276480l,276480xm25600,25600r1358920,l1384520,250880r-1358920,xe" fillcolor="#cfe7f5" strokecolor="gray" strokeweight=".35281mm">
            <v:stroke joinstyle="miter"/>
            <v:formulas/>
            <v:path o:connecttype="custom" o:connectlocs="667704,0;1335408,138431;667704,276862;0,138431;632327,0;1264654,138622;632327,277245;0,138622;632327,0;1264654,138622;632327,277245;0,138622;0,0;16187558,0;16187558,3548726;0,3548726;293877,328586;15893679,328586;15893679,3220141;293877,3220141" o:connectangles="270,0,90,180,270,0,90,180,270,0,90,180,270,270,270,270,270,270,270,270" textboxrect="25600,25600,1384520,250880"/>
            <v:textbox style="mso-rotate-with-shape:t" inset="0,0,0,0">
              <w:txbxContent>
                <w:p w:rsidR="0024395C" w:rsidRDefault="0024395C"/>
              </w:txbxContent>
            </v:textbox>
          </v:shape>
        </w:pict>
      </w:r>
    </w:p>
    <w:p w:rsidR="0024395C" w:rsidRDefault="00C839DD">
      <w:pPr>
        <w:pStyle w:val="Standard"/>
      </w:pPr>
      <w:r>
        <w:rPr>
          <w:b/>
          <w:bCs/>
          <w:i/>
          <w:iCs/>
        </w:rPr>
        <w:tab/>
      </w:r>
      <w:r>
        <w:rPr>
          <w:b/>
          <w:bCs/>
          <w:i/>
          <w:iCs/>
        </w:rPr>
        <w:tab/>
      </w:r>
      <w:r>
        <w:rPr>
          <w:b/>
          <w:bCs/>
          <w:i/>
          <w:iCs/>
        </w:rPr>
        <w:tab/>
      </w:r>
      <w:r>
        <w:rPr>
          <w:b/>
          <w:bCs/>
          <w:i/>
          <w:iCs/>
        </w:rPr>
        <w:tab/>
      </w:r>
      <w:r>
        <w:rPr>
          <w:b/>
          <w:bCs/>
          <w:i/>
          <w:iCs/>
        </w:rPr>
        <w:tab/>
      </w:r>
      <w:r>
        <w:t>Clinique évocatrice</w:t>
      </w:r>
    </w:p>
    <w:p w:rsidR="0024395C" w:rsidRDefault="0024395C">
      <w:pPr>
        <w:pStyle w:val="Standard"/>
      </w:pPr>
      <w:r>
        <w:rPr>
          <w:b/>
          <w:bCs/>
        </w:rPr>
        <w:pict>
          <v:shape id="AutoShape 4" o:spid="_x0000_s1028" style="position:absolute;margin-left:223.7pt;margin-top:4.8pt;width:11.3pt;height:22.05pt;z-index:251659776;visibility:visible;mso-wrap-style:none;v-text-anchor:middle" coordsize="21600,21600" o:spt="100" adj="-11796480,,5400" path="m5400,r,16200l,16200r10800,5400l21600,16200r-5400,l16200,xe" fillcolor="#cfe7f5" strokecolor="gray" strokeweight=".35281mm">
            <v:stroke joinstyle="miter"/>
            <v:formulas/>
            <v:path o:connecttype="custom" o:connectlocs="71753,0;143505,140018;71753,280035;0,140018;476709,0;953411,1815275;476709,3630537;0,1815275;3162146,0;6324298,23568236;3162146,47136472;0,23568236" o:connectangles="270,0,90,180,270,0,90,180,270,0,90,180" textboxrect="5400,0,16200,18900"/>
            <v:textbox style="mso-rotate-with-shape:t" inset="0,0,0,0">
              <w:txbxContent>
                <w:p w:rsidR="0024395C" w:rsidRDefault="0024395C"/>
              </w:txbxContent>
            </v:textbox>
          </v:shape>
        </w:pict>
      </w:r>
    </w:p>
    <w:p w:rsidR="0024395C" w:rsidRDefault="0024395C">
      <w:pPr>
        <w:pStyle w:val="Standard"/>
      </w:pPr>
      <w:r>
        <w:rPr>
          <w:b/>
          <w:bCs/>
        </w:rPr>
        <w:pict>
          <v:shape id="AutoShape 5" o:spid="_x0000_s1029" style="position:absolute;margin-left:152.45pt;margin-top:13.05pt;width:147.75pt;height:18pt;z-index:251648512;visibility:visible" coordsize="1886400,228960" o:spt="100" adj="-11796480,,5400" path="m,l1886400,r,228960l,228960xm21200,21200r1844000,l1865200,207760r-1844000,xe" fillcolor="#cfe7f5" strokecolor="gray" strokeweight=".35281mm">
            <v:stroke joinstyle="miter"/>
            <v:formulas/>
            <v:path o:connecttype="custom" o:connectlocs="938211,0;1876421,114300;938211,228600;0,114300;933248,0;1866495,114120;933248,228241;0,114120;933248,0;1866495,114120;933248,228241;0,114120;0,0;19784833,0;19784833,2419348;0,2419348;222349,224014;19562480,224014;19562480,2195335;222349,2195335" o:connectangles="270,0,90,180,270,0,90,180,270,0,90,180,270,270,270,270,270,270,270,270" textboxrect="21200,21200,1865200,207760"/>
            <v:textbox style="mso-rotate-with-shape:t" inset="0,0,0,0">
              <w:txbxContent>
                <w:p w:rsidR="0024395C" w:rsidRDefault="0024395C"/>
              </w:txbxContent>
            </v:textbox>
          </v:shape>
        </w:pict>
      </w:r>
    </w:p>
    <w:p w:rsidR="0024395C" w:rsidRDefault="00C839DD">
      <w:pPr>
        <w:pStyle w:val="Standard"/>
      </w:pPr>
      <w:r>
        <w:t xml:space="preserve">                                                      </w:t>
      </w:r>
      <w:proofErr w:type="gramStart"/>
      <w:r>
        <w:t>scanner</w:t>
      </w:r>
      <w:proofErr w:type="gramEnd"/>
      <w:r>
        <w:t xml:space="preserve"> cérébral non injecté</w:t>
      </w:r>
    </w:p>
    <w:p w:rsidR="0024395C" w:rsidRDefault="0024395C">
      <w:pPr>
        <w:pStyle w:val="Standard"/>
      </w:pPr>
      <w:r>
        <w:rPr>
          <w:b/>
          <w:bCs/>
        </w:rPr>
        <w:pict>
          <v:shape id="AutoShape 7" o:spid="_x0000_s1030" style="position:absolute;margin-left:287.1pt;margin-top:8.35pt;width:10.85pt;height:15.05pt;z-index:251661824;visibility:visible;mso-wrap-style:none;v-text-anchor:middle" coordsize="21600,21600" o:spt="100" adj="-11796480,,5400" path="m5400,r,16200l,16200r10800,5400l21600,16200r-5400,l16200,xe" fillcolor="#cfe7f5" strokecolor="gray" strokeweight=".35281mm">
            <v:stroke joinstyle="miter"/>
            <v:formulas/>
            <v:path o:connecttype="custom" o:connectlocs="68895,0;137790,95569;68895,191137;0,95569;439493,0;878985,845684;439493,1691359;0,845684;2527081,0;5054162,7470164;2527081,14940338;0,7470164" o:connectangles="270,0,90,180,270,0,90,180,270,0,90,180" textboxrect="5400,0,16200,18900"/>
            <v:textbox style="mso-rotate-with-shape:t" inset="0,0,0,0">
              <w:txbxContent>
                <w:p w:rsidR="0024395C" w:rsidRDefault="0024395C"/>
              </w:txbxContent>
            </v:textbox>
          </v:shape>
        </w:pict>
      </w:r>
      <w:r>
        <w:rPr>
          <w:b/>
          <w:bCs/>
        </w:rPr>
        <w:pict>
          <v:shape id="AutoShape 6" o:spid="_x0000_s1031" style="position:absolute;margin-left:176.45pt;margin-top:6.9pt;width:18.75pt;height:16.5pt;z-index:251660800;visibility:visible;mso-wrap-style:none;v-text-anchor:middle" coordsize="21600,21600" o:spt="100" adj="-11796480,,5400" path="m5400,r,16200l,16200r10800,5400l21600,16200r-5400,l16200,xe" fillcolor="#cfe7f5" strokecolor="gray" strokeweight=".35281mm">
            <v:stroke joinstyle="miter"/>
            <v:formulas/>
            <v:path o:connecttype="custom" o:connectlocs="119064,0;238128,104777;119064,209553;0,104777;1312614,0;2625229,1016497;1312614,2032984;0,1016497;14482515,0;28965009,9876911;14482515,19753831;0,9876911" o:connectangles="270,0,90,180,270,0,90,180,270,0,90,180" textboxrect="5400,0,16200,18900"/>
            <v:textbox style="mso-rotate-with-shape:t" inset="0,0,0,0">
              <w:txbxContent>
                <w:p w:rsidR="0024395C" w:rsidRDefault="0024395C"/>
              </w:txbxContent>
            </v:textbox>
          </v:shape>
        </w:pict>
      </w:r>
    </w:p>
    <w:p w:rsidR="0024395C" w:rsidRDefault="0024395C">
      <w:pPr>
        <w:pStyle w:val="Standard"/>
      </w:pPr>
      <w:r>
        <w:rPr>
          <w:b/>
          <w:bCs/>
        </w:rPr>
        <w:pict>
          <v:shape id="AutoShape 9" o:spid="_x0000_s1032" style="position:absolute;margin-left:43.7pt;margin-top:12.45pt;width:148.05pt;height:18.75pt;z-index:251649536;visibility:visible" coordsize="1943280,219240" o:spt="100" adj="-11796480,,5400" path="m,l1943280,r,219240l,219240xm20300,20300r1902680,l1922980,198940r-1902680,xe" fillcolor="#cfe7f5" strokecolor="gray" strokeweight=".35281mm">
            <v:stroke joinstyle="miter"/>
            <v:formulas/>
            <v:path o:connecttype="custom" o:connectlocs="940117,0;1880234,119064;940117,238128;0,119064;909617,0;1819233,129322;909617,258643;0,129322;909617,0;1819233,129322;909617,258643;0,129322;0,0;18465200,0;18465200,2625226;0,2625226;192892,243077;18272323,243077;18272323,2382152;192892,2382152" o:connectangles="270,0,90,180,270,0,90,180,270,0,90,180,270,270,270,270,270,270,270,270" textboxrect="20300,20300,1922980,198940"/>
            <v:textbox style="mso-rotate-with-shape:t" inset="0,0,0,0">
              <w:txbxContent>
                <w:p w:rsidR="0024395C" w:rsidRDefault="0024395C"/>
              </w:txbxContent>
            </v:textbox>
          </v:shape>
        </w:pict>
      </w:r>
      <w:r>
        <w:rPr>
          <w:b/>
          <w:bCs/>
        </w:rPr>
        <w:pict>
          <v:shape id="AutoShape 8" o:spid="_x0000_s1033" style="position:absolute;margin-left:290.45pt;margin-top:12.45pt;width:106.6pt;height:18pt;z-index:251650560;visibility:visible" coordsize="1429200,228960" o:spt="100" adj="-11796480,,5400" path="m,l1429200,r,228960l,228960xm21200,21200r1386800,l1408000,207760r-1386800,xe" fillcolor="#cfe7f5" strokecolor="gray" strokeweight=".35281mm">
            <v:stroke joinstyle="miter"/>
            <v:formulas/>
            <v:path o:connecttype="custom" o:connectlocs="676912,0;1353824,114300;676912,228600;0,114300;641212,0;1282423,114120;641212,228241;0,114120;641212,0;1282423,114120;641212,228241;0,114120;0,0;13593673,0;13593673,2419348;0,2419348;201641,224014;13392035,224014;13392035,2195335;201641,2195335" o:connectangles="270,0,90,180,270,0,90,180,270,0,90,180,270,270,270,270,270,270,270,270" textboxrect="21200,21200,1408000,207760"/>
            <v:textbox style="mso-rotate-with-shape:t" inset="0,0,0,0">
              <w:txbxContent>
                <w:p w:rsidR="0024395C" w:rsidRDefault="0024395C"/>
              </w:txbxContent>
            </v:textbox>
          </v:shape>
        </w:pict>
      </w:r>
    </w:p>
    <w:p w:rsidR="0024395C" w:rsidRDefault="00C839DD">
      <w:pPr>
        <w:pStyle w:val="Standard"/>
      </w:pPr>
      <w:r>
        <w:t xml:space="preserve">               pas </w:t>
      </w:r>
      <w:proofErr w:type="gramStart"/>
      <w:r>
        <w:t>d 'hémorragie</w:t>
      </w:r>
      <w:proofErr w:type="gramEnd"/>
      <w:r>
        <w:t xml:space="preserve"> à l'imagerie                                  hémorragie méningée</w:t>
      </w:r>
    </w:p>
    <w:p w:rsidR="0024395C" w:rsidRDefault="0024395C">
      <w:pPr>
        <w:pStyle w:val="Standard"/>
      </w:pPr>
      <w:r>
        <w:rPr>
          <w:b/>
          <w:bCs/>
        </w:rPr>
        <w:pict>
          <v:shape id="AutoShape 10" o:spid="_x0000_s1034" style="position:absolute;margin-left:120.95pt;margin-top:3.6pt;width:12.8pt;height:21.3pt;z-index:251662848;visibility:visible;mso-wrap-style:none;v-text-anchor:middle" coordsize="21600,21600" o:spt="100" adj="-11796480,,5400" path="m5400,r,16200l,16200r10800,5400l21600,16200r-5400,l16200,xe" fillcolor="#cfe7f5" strokecolor="gray" strokeweight=".35281mm">
            <v:stroke joinstyle="miter"/>
            <v:formulas/>
            <v:path o:connecttype="custom" o:connectlocs="81281,0;162562,135253;81281,270506;0,135253;611722,0;1223445,1693831;611722,3387662;0,1693831;4598112,0;9196223,21229347;4598112,42458694;0,21229347" o:connectangles="270,0,90,180,270,0,90,180,270,0,90,180" textboxrect="5400,0,16200,18900"/>
            <v:textbox style="mso-rotate-with-shape:t" inset="0,0,0,0">
              <w:txbxContent>
                <w:p w:rsidR="0024395C" w:rsidRDefault="0024395C"/>
              </w:txbxContent>
            </v:textbox>
          </v:shape>
        </w:pict>
      </w:r>
      <w:r>
        <w:rPr>
          <w:b/>
          <w:bCs/>
        </w:rPr>
        <w:pict>
          <v:shape id="AutoShape 11" o:spid="_x0000_s1035" style="position:absolute;margin-left:341.45pt;margin-top:6.75pt;width:14.25pt;height:20.4pt;z-index:251665920;visibility:visible;mso-wrap-style:none;v-text-anchor:middle" coordsize="21600,21600" o:spt="100" adj="-11796480,,5400" path="m5400,r,16200l,16200r10800,5400l21600,16200r-5400,l16200,xe" fillcolor="#cfe7f5" strokecolor="gray" strokeweight=".35281mm">
            <v:stroke joinstyle="miter"/>
            <v:formulas/>
            <v:path o:connecttype="custom" o:connectlocs="90489,0;180978,129538;90489,259076;0,129538;758172,0;1516344,1553712;758172,3107424;0,1553712;6356006,0;12712020,18644548;6356006,37289095;0,18644548" o:connectangles="270,0,90,180,270,0,90,180,270,0,90,180" textboxrect="5400,0,16200,18900"/>
            <v:textbox style="mso-rotate-with-shape:t" inset="0,0,0,0">
              <w:txbxContent>
                <w:p w:rsidR="0024395C" w:rsidRDefault="0024395C"/>
              </w:txbxContent>
            </v:textbox>
          </v:shape>
        </w:pict>
      </w:r>
    </w:p>
    <w:p w:rsidR="0024395C" w:rsidRDefault="0024395C">
      <w:pPr>
        <w:pStyle w:val="Standard"/>
      </w:pPr>
      <w:r>
        <w:rPr>
          <w:b/>
          <w:bCs/>
        </w:rPr>
        <w:pict>
          <v:shape id="AutoShape 13" o:spid="_x0000_s1036" style="position:absolute;margin-left:75.95pt;margin-top:11.1pt;width:90.7pt;height:18.8pt;z-index:251654656;visibility:visible" coordsize="1200599,238320" o:spt="100" adj="-11796480,,5400" path="m,l1200599,r,238320l,238320xm22067,22067r1156465,l1178532,216253r-1156465,xe" fillcolor="#cfe7f5" strokecolor="gray" strokeweight=".35281mm">
            <v:stroke joinstyle="miter"/>
            <v:formulas/>
            <v:path o:connecttype="custom" o:connectlocs="575944,0;1151887,119379;575944,238758;0,119379;552576,0;1105151,119598;552576,239197;0,119598;552576,0;1105151,119598;552576,239197;0,119598;0,0;12193486,0;12193486,2639136;0,2639136;224113,244364;11969372,244364;11969372,2394774;224113,2394774" o:connectangles="270,0,90,180,270,0,90,180,270,0,90,180,270,270,270,270,270,270,270,270" textboxrect="22067,22067,1178532,216253"/>
            <v:textbox style="mso-rotate-with-shape:t" inset="0,0,0,0">
              <w:txbxContent>
                <w:p w:rsidR="0024395C" w:rsidRDefault="0024395C"/>
              </w:txbxContent>
            </v:textbox>
          </v:shape>
        </w:pict>
      </w:r>
    </w:p>
    <w:p w:rsidR="0024395C" w:rsidRDefault="0024395C">
      <w:pPr>
        <w:pStyle w:val="Standard"/>
      </w:pPr>
      <w:r>
        <w:rPr>
          <w:b/>
          <w:bCs/>
        </w:rPr>
        <w:pict>
          <v:shape id="AutoShape 12" o:spid="_x0000_s1037" style="position:absolute;margin-left:316.7pt;margin-top:-.45pt;width:70.05pt;height:15.75pt;z-index:251651584;visibility:visible" coordsize="914760,200160" o:spt="100" adj="-11796480,,5400" path="m,l914760,r,200160l,200160xm18533,18533r877694,l896227,181627r-877694,xe" fillcolor="#cfe7f5" strokecolor="gray" strokeweight=".35281mm">
            <v:stroke joinstyle="miter"/>
            <v:formulas/>
            <v:path o:connecttype="custom" o:connectlocs="444819,0;889638,100013;444819,200025;0,100013;432603,0;865206,99946;432603,199890;0,99946;432603,0;865206,99946;432603,199890;0,99946;0,0;8017568,0;8017568,1852314;0,1852314;162438,171510;7855127,171510;7855127,1680804;162438,1680804" o:connectangles="270,0,90,180,270,0,90,180,270,0,90,180,270,270,270,270,270,270,270,270" textboxrect="18533,18535,896227,181629"/>
            <v:textbox style="mso-rotate-with-shape:t" inset="0,0,0,0">
              <w:txbxContent>
                <w:p w:rsidR="0024395C" w:rsidRDefault="0024395C"/>
              </w:txbxContent>
            </v:textbox>
          </v:shape>
        </w:pict>
      </w:r>
      <w:r w:rsidR="00C839DD">
        <w:t xml:space="preserve">                          Ponction lombaire                                                   </w:t>
      </w:r>
      <w:proofErr w:type="spellStart"/>
      <w:r w:rsidR="00C839DD">
        <w:t>Angioscanner</w:t>
      </w:r>
      <w:proofErr w:type="spellEnd"/>
    </w:p>
    <w:p w:rsidR="0024395C" w:rsidRDefault="0024395C">
      <w:pPr>
        <w:pStyle w:val="Standard"/>
      </w:pPr>
      <w:r>
        <w:rPr>
          <w:b/>
          <w:bCs/>
        </w:rPr>
        <w:pict>
          <v:shape id="AutoShape 14" o:spid="_x0000_s1038" style="position:absolute;margin-left:152.45pt;margin-top:6.6pt;width:16.5pt;height:20.75pt;z-index:251663872;visibility:visible;mso-wrap-style:none;v-text-anchor:middle" coordsize="21600,21600" o:spt="100" adj="-11796480,,5400" path="m5400,r,16200l,16200r10800,5400l21600,16200r-5400,l16200,xe" fillcolor="#cfe7f5" strokecolor="gray" strokeweight=".35281mm">
            <v:stroke joinstyle="miter"/>
            <v:formulas/>
            <v:path o:connecttype="custom" o:connectlocs="104777,0;209553,131760;104777,263520;0,131760;1016497,0;2032984,1607472;1016497,3214944;0,1607472;9876911,0;19753831,19584366;9876911,39168732;0,19584366" o:connectangles="270,0,90,180,270,0,90,180,270,0,90,180" textboxrect="5400,0,16200,18900"/>
            <v:textbox style="mso-rotate-with-shape:t" inset="0,0,0,0">
              <w:txbxContent>
                <w:p w:rsidR="0024395C" w:rsidRDefault="0024395C"/>
              </w:txbxContent>
            </v:textbox>
          </v:shape>
        </w:pict>
      </w:r>
      <w:r>
        <w:rPr>
          <w:b/>
          <w:bCs/>
        </w:rPr>
        <w:pict>
          <v:shape id="AutoShape 15" o:spid="_x0000_s1039" style="position:absolute;margin-left:80.45pt;margin-top:6.6pt;width:13.5pt;height:17.7pt;z-index:251664896;visibility:visible;mso-wrap-style:none;v-text-anchor:middle" coordsize="21600,21600" o:spt="100" adj="-11796480,,5400" path="m5400,r,16200l,16200r10800,5400l21600,16200r-5400,l16200,xe" fillcolor="#cfe7f5" strokecolor="gray" strokeweight=".35281mm">
            <v:stroke joinstyle="miter"/>
            <v:formulas/>
            <v:path o:connecttype="custom" o:connectlocs="85725,0;171450,112393;85725,224786;0,112393;680442,0;1360884,1169647;680442,2339294;0,1169647;5409517,0;10819035,12183818;5409517,24367637;0,12183818" o:connectangles="270,0,90,180,270,0,90,180,270,0,90,180" textboxrect="5400,0,16200,18900"/>
            <v:textbox style="mso-rotate-with-shape:t" inset="0,0,0,0">
              <w:txbxContent>
                <w:p w:rsidR="0024395C" w:rsidRDefault="0024395C"/>
              </w:txbxContent>
            </v:textbox>
          </v:shape>
        </w:pict>
      </w:r>
      <w:r>
        <w:rPr>
          <w:b/>
          <w:bCs/>
        </w:rPr>
        <w:pict>
          <v:shape id="AutoShape 16" o:spid="_x0000_s1040" style="position:absolute;margin-left:347.45pt;margin-top:1.5pt;width:15.75pt;height:25.85pt;z-index:251666944;visibility:visible;mso-wrap-style:none;v-text-anchor:middle" coordsize="21600,21600" o:spt="100" adj="-11796480,,5400" path="m5400,r,16200l,16200r10800,5400l21600,16200r-5400,l16200,xe" fillcolor="#cfe7f5" strokecolor="gray" strokeweight=".35281mm">
            <v:stroke joinstyle="miter"/>
            <v:formulas/>
            <v:path o:connecttype="custom" o:connectlocs="100013,0;200025,164149;100013,328297;0,164149;926162,0;1852315,2494890;926162,4989765;0,2494890;8582387,0;17164783,37880612;8582387,75761223;0,37880612" o:connectangles="270,0,90,180,270,0,90,180,270,0,90,180" textboxrect="5400,0,16200,18900"/>
            <v:textbox style="mso-rotate-with-shape:t" inset="0,0,0,0">
              <w:txbxContent>
                <w:p w:rsidR="0024395C" w:rsidRDefault="0024395C"/>
              </w:txbxContent>
            </v:textbox>
          </v:shape>
        </w:pict>
      </w:r>
    </w:p>
    <w:p w:rsidR="0024395C" w:rsidRDefault="0024395C">
      <w:pPr>
        <w:pStyle w:val="Standard"/>
      </w:pPr>
      <w:r>
        <w:rPr>
          <w:b/>
          <w:bCs/>
        </w:rPr>
        <w:pict>
          <v:shape id="AutoShape 18" o:spid="_x0000_s1041" style="position:absolute;margin-left:136.7pt;margin-top:10.5pt;width:130.6pt;height:20.55pt;z-index:251653632;visibility:visible" coordsize="1724400,223200" o:spt="100" adj="-11796480,,5400" path="m,l1724400,r,223200l,223200xm20667,20667r1683066,l1703733,202533r-1683066,xe" fillcolor="#cfe7f5" strokecolor="gray" strokeweight=".35281mm">
            <v:stroke joinstyle="miter"/>
            <v:formulas/>
            <v:path o:connecttype="custom" o:connectlocs="829311,0;1658621,130494;829311,260988;0,130494;797676,0;1595351,152587;797676,305174;0,152587;797676,0;1595351,152587;797676,305174;0,152587;0,0;16485272,0;16485272,3153458;0,3153458;197573,291986;16287715,291986;16287715,2861472;197573,2861472" o:connectangles="270,0,90,180,270,0,90,180,270,0,90,180,270,270,270,270,270,270,270,270" textboxrect="20667,20667,1703733,202533"/>
            <v:textbox style="mso-rotate-with-shape:t" inset="0,0,0,0">
              <w:txbxContent>
                <w:p w:rsidR="0024395C" w:rsidRDefault="0024395C"/>
              </w:txbxContent>
            </v:textbox>
          </v:shape>
        </w:pict>
      </w:r>
      <w:r>
        <w:rPr>
          <w:b/>
          <w:bCs/>
        </w:rPr>
        <w:pict>
          <v:shape id="AutoShape 19" o:spid="_x0000_s1042" style="position:absolute;margin-left:42.2pt;margin-top:10.5pt;width:60.15pt;height:18pt;z-index:251655680;visibility:visible" coordsize="838439,228960" o:spt="100" adj="-11796480,,5400" path="m,l838439,r,228960l,228960xm21200,21200r796039,l817239,207760r-796039,xe" fillcolor="#cfe7f5" strokecolor="gray" strokeweight=".35281mm">
            <v:stroke joinstyle="miter"/>
            <v:formulas/>
            <v:path o:connecttype="custom" o:connectlocs="381954,0;763908,114300;381954,228600;0,114300;348001,0;696002,114120;348001,228241;0,114120;348001,0;696002,114120;348001,228241;0,114120;0,0;7377619,0;7377619,2419348;0,2419348;186544,224014;7191075,224014;7191075,2195335;186544,2195335" o:connectangles="270,0,90,180,270,0,90,180,270,0,90,180,270,270,270,270,270,270,270,270" textboxrect="21199,21200,817240,207760"/>
            <v:textbox style="mso-rotate-with-shape:t" inset="0,0,0,0">
              <w:txbxContent>
                <w:p w:rsidR="0024395C" w:rsidRDefault="0024395C"/>
              </w:txbxContent>
            </v:textbox>
          </v:shape>
        </w:pict>
      </w:r>
    </w:p>
    <w:p w:rsidR="0024395C" w:rsidRDefault="0024395C">
      <w:pPr>
        <w:pStyle w:val="Standard"/>
      </w:pPr>
      <w:r>
        <w:rPr>
          <w:b/>
          <w:bCs/>
        </w:rPr>
        <w:pict>
          <v:shape id="AutoShape 17" o:spid="_x0000_s1043" style="position:absolute;margin-left:318.95pt;margin-top:-.3pt;width:78.1pt;height:14.25pt;z-index:251652608;visibility:visible" coordsize="943200,181080" o:spt="100" adj="-11796480,,5400" path="m,l943200,r,181080l,181080xm16767,16767r909666,l926433,164313r-909666,xe" fillcolor="#cfe7f5" strokecolor="gray" strokeweight=".35281mm">
            <v:stroke joinstyle="miter"/>
            <v:formulas/>
            <v:path o:connecttype="custom" o:connectlocs="495934,0;991867,90489;495934,180978;0,90489;521523,0;1043045,90438;521523,180876;0,90438;521523,0;1043045,90438;521523,180876;0,90438;0,0;8744187,0;8744187,1516343;0,1516343;155440,140402;8588748,140402;8588748,1375942;155440,1375942" o:connectangles="270,0,90,180,270,0,90,180,270,0,90,180,270,270,270,270,270,270,270,270" textboxrect="16767,16767,926433,164313"/>
            <v:textbox style="mso-rotate-with-shape:t" inset="0,0,0,0">
              <w:txbxContent>
                <w:p w:rsidR="0024395C" w:rsidRDefault="0024395C"/>
              </w:txbxContent>
            </v:textbox>
          </v:shape>
        </w:pict>
      </w:r>
      <w:r w:rsidR="00C839DD">
        <w:t xml:space="preserve">               PL normale             PL évocatrice ou douteuse                   Artériographie</w:t>
      </w:r>
    </w:p>
    <w:p w:rsidR="0024395C" w:rsidRDefault="0024395C">
      <w:pPr>
        <w:pStyle w:val="Standard"/>
      </w:pPr>
      <w:r>
        <w:rPr>
          <w:b/>
          <w:bCs/>
        </w:rPr>
        <w:pict>
          <v:shape id="AutoShape 20" o:spid="_x0000_s1044" style="position:absolute;margin-left:178.7pt;margin-top:5.7pt;width:14.25pt;height:18.05pt;z-index:251667968;visibility:visible;mso-wrap-style:none;v-text-anchor:middle" coordsize="21600,21600" o:spt="100" adj="-11796480,,5400" path="m5400,r,16200l,16200r10800,5400l21600,16200r-5400,l16200,xe" fillcolor="#cfe7f5" strokecolor="gray" strokeweight=".35281mm">
            <v:stroke joinstyle="miter"/>
            <v:formulas/>
            <v:path o:connecttype="custom" o:connectlocs="90489,0;180978,114615;90489,229230;0,114615;758172,0;1516344,1216352;758172,2432703;0,1216352;6356006,0;12712020,12893329;6356006,25786657;0,12893329" o:connectangles="270,0,90,180,270,0,90,180,270,0,90,180" textboxrect="5400,0,16200,18900"/>
            <v:textbox style="mso-rotate-with-shape:t" inset="0,0,0,0">
              <w:txbxContent>
                <w:p w:rsidR="0024395C" w:rsidRDefault="0024395C"/>
              </w:txbxContent>
            </v:textbox>
          </v:shape>
        </w:pict>
      </w:r>
      <w:r>
        <w:rPr>
          <w:b/>
          <w:bCs/>
        </w:rPr>
        <w:pict>
          <v:shape id="AutoShape 21" o:spid="_x0000_s1045" style="position:absolute;margin-left:62.45pt;margin-top:4.2pt;width:14.25pt;height:16.5pt;z-index:251670016;visibility:visible;mso-wrap-style:none;v-text-anchor:middle" coordsize="21600,21600" o:spt="100" adj="-11796480,,5400" path="m5400,r,16200l,16200r10800,5400l21600,16200r-5400,l16200,xe" fillcolor="#cfe7f5" strokecolor="gray" strokeweight=".35281mm">
            <v:stroke joinstyle="miter"/>
            <v:formulas/>
            <v:path o:connecttype="custom" o:connectlocs="90489,0;180978,104777;90489,209553;0,104777;758172,0;1516344,1016497;758172,2032984;0,1016497;6356006,0;12712020,9876911;6356006,19753831;0,9876911" o:connectangles="270,0,90,180,270,0,90,180,270,0,90,180" textboxrect="5400,0,16200,18900"/>
            <v:textbox style="mso-rotate-with-shape:t" inset="0,0,0,0">
              <w:txbxContent>
                <w:p w:rsidR="0024395C" w:rsidRDefault="0024395C"/>
              </w:txbxContent>
            </v:textbox>
          </v:shape>
        </w:pict>
      </w:r>
    </w:p>
    <w:p w:rsidR="0024395C" w:rsidRDefault="0024395C">
      <w:pPr>
        <w:pStyle w:val="Standard"/>
      </w:pPr>
      <w:r>
        <w:rPr>
          <w:b/>
          <w:bCs/>
        </w:rPr>
        <w:pict>
          <v:shape id="AutoShape 23" o:spid="_x0000_s1046" style="position:absolute;margin-left:1.1pt;margin-top:10.65pt;width:125.55pt;height:19.55pt;z-index:251658752;visibility:visible" coordsize="1638719,248040" o:spt="100" adj="-11796480,,5400" path="m,l1638719,r,248040l,248040xm22967,22967r1592785,l1615752,225073r-1592785,xe" fillcolor="#cfe7f5" strokecolor="gray" strokeweight=".35281mm">
            <v:stroke joinstyle="miter"/>
            <v:formulas/>
            <v:path o:connecttype="custom" o:connectlocs="797243,0;1594485,124144;797243,248287;0,124144;775723,0;1551445,124268;775723,248534;0,124268;775723,0;1551445,124268;775723,248534;0,124268;0,0;17815744,0;17815744,2853999;0,2853999;249688,264260;17566063,264260;17566063,2589741;249688,2589741" o:connectangles="270,0,90,180,270,0,90,180,270,0,90,180,270,270,270,270,270,270,270,270" textboxrect="22967,22967,1615752,225073"/>
            <v:textbox style="mso-rotate-with-shape:t" inset="0,0,0,0">
              <w:txbxContent>
                <w:p w:rsidR="0024395C" w:rsidRDefault="0024395C"/>
              </w:txbxContent>
            </v:textbox>
          </v:shape>
        </w:pict>
      </w:r>
    </w:p>
    <w:p w:rsidR="0024395C" w:rsidRDefault="0024395C">
      <w:pPr>
        <w:pStyle w:val="Standard"/>
      </w:pPr>
      <w:r>
        <w:rPr>
          <w:b/>
          <w:bCs/>
        </w:rPr>
        <w:pict>
          <v:shape id="AutoShape 22" o:spid="_x0000_s1047" style="position:absolute;margin-left:150.2pt;margin-top:-.15pt;width:73.5pt;height:15.05pt;z-index:251656704;visibility:visible" coordsize="895680,190800" o:spt="100" adj="-11796480,,5400" path="m,l895680,r,190800l,190800xm17667,17667r860346,l878013,173133r-860346,xe" fillcolor="#cfe7f5" strokecolor="gray" strokeweight=".35281mm">
            <v:stroke joinstyle="miter"/>
            <v:formulas/>
            <v:path o:connecttype="custom" o:connectlocs="466723,0;933446,95569;466723,191137;0,95569;486402,0;972804,95738;486402,191475;0,95738;486402,0;972804,95737;486402,191475;0,95737;0,0;8593097,0;8593097,1691358;0,1691358;169492,156607;8423604,156607;8423604,1534751;169492,1534751" o:connectangles="270,0,90,180,270,0,90,180,270,0,90,180,270,270,270,270,270,270,270,270" textboxrect="17667,17667,878013,173133"/>
            <v:textbox style="mso-rotate-with-shape:t" inset="0,0,0,0">
              <w:txbxContent>
                <w:p w:rsidR="0024395C" w:rsidRDefault="0024395C"/>
              </w:txbxContent>
            </v:textbox>
          </v:shape>
        </w:pict>
      </w:r>
      <w:r w:rsidR="00C839DD">
        <w:t xml:space="preserve"> </w:t>
      </w:r>
      <w:proofErr w:type="gramStart"/>
      <w:r w:rsidR="00C839DD">
        <w:t>élimination</w:t>
      </w:r>
      <w:proofErr w:type="gramEnd"/>
      <w:r w:rsidR="00C839DD">
        <w:t xml:space="preserve"> du diagnostic         </w:t>
      </w:r>
      <w:proofErr w:type="spellStart"/>
      <w:r w:rsidR="00C839DD">
        <w:t>Angioscanner</w:t>
      </w:r>
      <w:proofErr w:type="spellEnd"/>
    </w:p>
    <w:p w:rsidR="0024395C" w:rsidRDefault="0024395C">
      <w:pPr>
        <w:pStyle w:val="Standard"/>
      </w:pPr>
      <w:r>
        <w:rPr>
          <w:b/>
          <w:bCs/>
        </w:rPr>
        <w:pict>
          <v:shape id="AutoShape 24" o:spid="_x0000_s1048" style="position:absolute;margin-left:177.95pt;margin-top:4.8pt;width:15.05pt;height:16.05pt;z-index:251668992;visibility:visible;mso-wrap-style:none;v-text-anchor:middle" coordsize="21600,21600" o:spt="100" adj="-11796480,,5400" path="m5400,r,16200l,16200r10800,5400l21600,16200r-5400,l16200,xe" fillcolor="#cfe7f5" strokecolor="gray" strokeweight=".35281mm">
            <v:stroke joinstyle="miter"/>
            <v:formulas/>
            <v:path o:connecttype="custom" o:connectlocs="95569,0;191137,101919;95569,203838;0,101919;845684,0;1691359,961804;845684,1923608;0,961804;7470164,0;14940338,9089041;7470164,18178092;0,9089041" o:connectangles="270,0,90,180,270,0,90,180,270,0,90,180" textboxrect="5400,0,16200,18900"/>
            <v:textbox style="mso-rotate-with-shape:t" inset="0,0,0,0">
              <w:txbxContent>
                <w:p w:rsidR="0024395C" w:rsidRDefault="0024395C"/>
              </w:txbxContent>
            </v:textbox>
          </v:shape>
        </w:pict>
      </w:r>
    </w:p>
    <w:p w:rsidR="0024395C" w:rsidRDefault="0024395C">
      <w:pPr>
        <w:pStyle w:val="Standard"/>
      </w:pPr>
      <w:r>
        <w:rPr>
          <w:b/>
          <w:bCs/>
        </w:rPr>
        <w:pict>
          <v:shape id="AutoShape 25" o:spid="_x0000_s1049" style="position:absolute;margin-left:149.45pt;margin-top:12.3pt;width:74.25pt;height:17.25pt;z-index:251657728;visibility:visible" coordsize="990719,219240" o:spt="100" adj="-11796480,,5400" path="m,l990719,r,219240l,219240xm20300,20300r950119,l970419,198940r-950119,xe" fillcolor="#cfe7f5" strokecolor="gray" strokeweight=".35281mm">
            <v:stroke joinstyle="miter"/>
            <v:formulas/>
            <v:path o:connecttype="custom" o:connectlocs="471488,0;942975,109536;471488,219071;0,109536;448766,0;897532,109452;448766,218902;0,109452;448766,0;897532,109451;448766,218902;0,109451;0,0;9109946,0;9109946,2221854;0,2221854;186664,205727;8923277,205727;8923277,2016128;186664,2016128" o:connectangles="270,0,90,180,270,0,90,180,270,0,90,180,270,270,270,270,270,270,270,270" textboxrect="20300,20300,970419,198940"/>
            <v:textbox style="mso-rotate-with-shape:t" inset="0,0,0,0">
              <w:txbxContent>
                <w:p w:rsidR="0024395C" w:rsidRDefault="0024395C"/>
              </w:txbxContent>
            </v:textbox>
          </v:shape>
        </w:pict>
      </w:r>
    </w:p>
    <w:p w:rsidR="0024395C" w:rsidRDefault="00C839DD">
      <w:pPr>
        <w:pStyle w:val="Standard"/>
      </w:pPr>
      <w:r>
        <w:t xml:space="preserve">                                                   Artériographie</w:t>
      </w:r>
    </w:p>
    <w:p w:rsidR="008C58A4" w:rsidRDefault="008C58A4">
      <w:pPr>
        <w:pStyle w:val="Standard"/>
      </w:pPr>
    </w:p>
    <w:p w:rsidR="008C58A4" w:rsidRDefault="008C58A4">
      <w:pPr>
        <w:pStyle w:val="Standard"/>
      </w:pPr>
    </w:p>
    <w:p w:rsidR="0024395C" w:rsidRDefault="00C839DD">
      <w:pPr>
        <w:pStyle w:val="Standard"/>
        <w:numPr>
          <w:ilvl w:val="0"/>
          <w:numId w:val="7"/>
        </w:numPr>
      </w:pPr>
      <w:r>
        <w:t xml:space="preserve">Les </w:t>
      </w:r>
      <w:r>
        <w:rPr>
          <w:b/>
          <w:bCs/>
        </w:rPr>
        <w:t>localisations</w:t>
      </w:r>
      <w:r>
        <w:t xml:space="preserve"> à retenir sont les anévrismes carotidiens (85-95%) les autres sont des raretés :</w:t>
      </w:r>
    </w:p>
    <w:p w:rsidR="0024395C" w:rsidRDefault="00C839DD">
      <w:pPr>
        <w:pStyle w:val="Standard"/>
      </w:pPr>
      <w:r>
        <w:t>-artères communicantes antérieures (30%)</w:t>
      </w:r>
    </w:p>
    <w:p w:rsidR="0024395C" w:rsidRDefault="00C839DD">
      <w:pPr>
        <w:pStyle w:val="Standard"/>
      </w:pPr>
      <w:r>
        <w:t>-artères communicantes postérieures (20%)</w:t>
      </w:r>
    </w:p>
    <w:p w:rsidR="0024395C" w:rsidRDefault="00C839DD">
      <w:pPr>
        <w:pStyle w:val="Standard"/>
      </w:pPr>
      <w:r>
        <w:t xml:space="preserve">-artère </w:t>
      </w:r>
      <w:proofErr w:type="spellStart"/>
      <w:r>
        <w:t>sylvienne</w:t>
      </w:r>
      <w:proofErr w:type="spellEnd"/>
      <w:r>
        <w:t xml:space="preserve"> (20%)</w:t>
      </w:r>
    </w:p>
    <w:p w:rsidR="0024395C" w:rsidRDefault="0024395C">
      <w:pPr>
        <w:pStyle w:val="Standard"/>
        <w:rPr>
          <w:b/>
          <w:bCs/>
        </w:rPr>
      </w:pPr>
    </w:p>
    <w:p w:rsidR="0024395C" w:rsidRDefault="00C839DD">
      <w:pPr>
        <w:pStyle w:val="Standard"/>
        <w:numPr>
          <w:ilvl w:val="0"/>
          <w:numId w:val="8"/>
        </w:numPr>
      </w:pPr>
      <w:r>
        <w:rPr>
          <w:b/>
          <w:bCs/>
        </w:rPr>
        <w:t>Prise en charge initiale</w:t>
      </w:r>
    </w:p>
    <w:p w:rsidR="0024395C" w:rsidRDefault="00C839DD">
      <w:pPr>
        <w:pStyle w:val="Standard"/>
      </w:pPr>
      <w:r>
        <w:t xml:space="preserve">_          </w:t>
      </w:r>
      <w:proofErr w:type="gramStart"/>
      <w:r>
        <w:t>on</w:t>
      </w:r>
      <w:proofErr w:type="gramEnd"/>
      <w:r>
        <w:t xml:space="preserve"> l'hospitalise en réanimatio</w:t>
      </w:r>
      <w:r>
        <w:t>n neurochirurgicale en urgence</w:t>
      </w:r>
    </w:p>
    <w:p w:rsidR="0024395C" w:rsidRDefault="00C839DD">
      <w:pPr>
        <w:pStyle w:val="Standard"/>
        <w:numPr>
          <w:ilvl w:val="0"/>
          <w:numId w:val="9"/>
        </w:numPr>
      </w:pPr>
      <w:r>
        <w:t>on traite une hydrocéphalie symptomatique (si présente au scanner) en mettant un cathéter dans le ventricule latéral droit (= dérivation externe)</w:t>
      </w:r>
    </w:p>
    <w:p w:rsidR="0024395C" w:rsidRDefault="00C839DD">
      <w:pPr>
        <w:pStyle w:val="Standard"/>
        <w:numPr>
          <w:ilvl w:val="0"/>
          <w:numId w:val="9"/>
        </w:numPr>
      </w:pPr>
      <w:r>
        <w:t xml:space="preserve">prévention du </w:t>
      </w:r>
      <w:proofErr w:type="spellStart"/>
      <w:r>
        <w:t>vasospasme</w:t>
      </w:r>
      <w:proofErr w:type="spellEnd"/>
      <w:r>
        <w:t xml:space="preserve"> (</w:t>
      </w:r>
      <w:proofErr w:type="spellStart"/>
      <w:r>
        <w:t>nimodipine</w:t>
      </w:r>
      <w:proofErr w:type="spellEnd"/>
      <w:r>
        <w:t>) dans les 2-3h d'hospitalisation (rapide +</w:t>
      </w:r>
      <w:r>
        <w:t>++)</w:t>
      </w:r>
    </w:p>
    <w:p w:rsidR="0024395C" w:rsidRDefault="00C839DD">
      <w:pPr>
        <w:pStyle w:val="Standard"/>
        <w:numPr>
          <w:ilvl w:val="0"/>
          <w:numId w:val="9"/>
        </w:numPr>
      </w:pPr>
      <w:r>
        <w:t>antiépileptiques</w:t>
      </w:r>
    </w:p>
    <w:p w:rsidR="0024395C" w:rsidRDefault="00C839DD">
      <w:pPr>
        <w:pStyle w:val="Standard"/>
        <w:numPr>
          <w:ilvl w:val="0"/>
          <w:numId w:val="9"/>
        </w:numPr>
      </w:pPr>
      <w:r>
        <w:t>antalgiques</w:t>
      </w:r>
    </w:p>
    <w:p w:rsidR="0024395C" w:rsidRDefault="00C839DD">
      <w:pPr>
        <w:pStyle w:val="Standard"/>
        <w:numPr>
          <w:ilvl w:val="0"/>
          <w:numId w:val="9"/>
        </w:numPr>
      </w:pPr>
      <w:r>
        <w:t>repos au calme</w:t>
      </w:r>
    </w:p>
    <w:p w:rsidR="0024395C" w:rsidRDefault="00C839DD">
      <w:pPr>
        <w:pStyle w:val="Standard"/>
        <w:numPr>
          <w:ilvl w:val="0"/>
          <w:numId w:val="9"/>
        </w:numPr>
      </w:pPr>
      <w:r>
        <w:t>prévention des agressions cérébrales secondaires d'origine systémique (ACSOS)</w:t>
      </w:r>
    </w:p>
    <w:p w:rsidR="0024395C" w:rsidRDefault="00C839DD">
      <w:pPr>
        <w:pStyle w:val="Standard"/>
        <w:numPr>
          <w:ilvl w:val="0"/>
          <w:numId w:val="9"/>
        </w:numPr>
      </w:pPr>
      <w:r>
        <w:t>traitement de l'anévrisme (</w:t>
      </w:r>
      <w:proofErr w:type="spellStart"/>
      <w:r>
        <w:t>clipping</w:t>
      </w:r>
      <w:proofErr w:type="spellEnd"/>
      <w:r>
        <w:t xml:space="preserve"> ou </w:t>
      </w:r>
      <w:proofErr w:type="spellStart"/>
      <w:r>
        <w:t>coiling</w:t>
      </w:r>
      <w:proofErr w:type="spellEnd"/>
      <w:r>
        <w:t>) dans les 24h</w:t>
      </w:r>
    </w:p>
    <w:p w:rsidR="0024395C" w:rsidRDefault="0024395C">
      <w:pPr>
        <w:pStyle w:val="Standard"/>
      </w:pPr>
    </w:p>
    <w:p w:rsidR="0024395C" w:rsidRDefault="00C839DD">
      <w:pPr>
        <w:pStyle w:val="Standard"/>
        <w:ind w:left="30" w:hanging="360"/>
      </w:pPr>
      <w:r>
        <w:rPr>
          <w:noProof/>
          <w:lang w:eastAsia="fr-FR" w:bidi="ar-SA"/>
        </w:rPr>
        <w:drawing>
          <wp:anchor distT="0" distB="0" distL="114300" distR="114300" simplePos="0" relativeHeight="251645440" behindDoc="1" locked="0" layoutInCell="1" allowOverlap="1">
            <wp:simplePos x="0" y="0"/>
            <wp:positionH relativeFrom="column">
              <wp:posOffset>4164835</wp:posOffset>
            </wp:positionH>
            <wp:positionV relativeFrom="paragraph">
              <wp:posOffset>438116</wp:posOffset>
            </wp:positionV>
            <wp:extent cx="1915201" cy="1706398"/>
            <wp:effectExtent l="0" t="0" r="0" b="0"/>
            <wp:wrapNone/>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915201" cy="1706398"/>
                    </a:xfrm>
                    <a:prstGeom prst="rect">
                      <a:avLst/>
                    </a:prstGeom>
                    <a:noFill/>
                    <a:ln>
                      <a:noFill/>
                      <a:prstDash/>
                    </a:ln>
                  </pic:spPr>
                </pic:pic>
              </a:graphicData>
            </a:graphic>
          </wp:anchor>
        </w:drawing>
      </w:r>
      <w:r>
        <w:rPr>
          <w:b/>
          <w:bCs/>
        </w:rPr>
        <w:t>Le traitement de l'anévrisme </w:t>
      </w:r>
      <w:r>
        <w:t>consiste en deux manœuvres au choix le</w:t>
      </w:r>
      <w:r>
        <w:t xml:space="preserve"> </w:t>
      </w:r>
      <w:proofErr w:type="spellStart"/>
      <w:r>
        <w:t>clipping</w:t>
      </w:r>
      <w:proofErr w:type="spellEnd"/>
      <w:r>
        <w:t xml:space="preserve"> ou le </w:t>
      </w:r>
      <w:proofErr w:type="spellStart"/>
      <w:r>
        <w:t>coiling</w:t>
      </w:r>
      <w:proofErr w:type="spellEnd"/>
      <w:r>
        <w:t>. On ne nous demandera pas de choisir entre ces deux méthodes, c'est encore discuté aujourd'hui et les pratiques varient d'un centre à l'autre...</w:t>
      </w:r>
    </w:p>
    <w:p w:rsidR="0024395C" w:rsidRDefault="0024395C">
      <w:pPr>
        <w:pStyle w:val="Standard"/>
        <w:ind w:left="-30" w:right="3690"/>
        <w:rPr>
          <w:b/>
          <w:bCs/>
        </w:rPr>
      </w:pPr>
    </w:p>
    <w:p w:rsidR="0024395C" w:rsidRDefault="0024395C">
      <w:pPr>
        <w:pStyle w:val="Standard"/>
        <w:ind w:left="15" w:right="4080"/>
        <w:rPr>
          <w:b/>
          <w:bCs/>
        </w:rPr>
      </w:pPr>
    </w:p>
    <w:p w:rsidR="0024395C" w:rsidRDefault="00C839DD">
      <w:pPr>
        <w:pStyle w:val="Standard"/>
        <w:ind w:left="15" w:right="4080"/>
      </w:pPr>
      <w:r>
        <w:t>-</w:t>
      </w:r>
      <w:r w:rsidRPr="00164439">
        <w:rPr>
          <w:b/>
        </w:rPr>
        <w:t>Le</w:t>
      </w:r>
      <w:r>
        <w:t xml:space="preserve"> </w:t>
      </w:r>
      <w:proofErr w:type="spellStart"/>
      <w:r w:rsidRPr="00164439">
        <w:rPr>
          <w:b/>
        </w:rPr>
        <w:t>clipping</w:t>
      </w:r>
      <w:proofErr w:type="spellEnd"/>
      <w:r>
        <w:t xml:space="preserve"> : traitement </w:t>
      </w:r>
      <w:proofErr w:type="spellStart"/>
      <w:r>
        <w:t>chirurgigal</w:t>
      </w:r>
      <w:proofErr w:type="spellEnd"/>
      <w:r>
        <w:t xml:space="preserve"> : c'est une </w:t>
      </w:r>
      <w:proofErr w:type="spellStart"/>
      <w:r>
        <w:t>micropince</w:t>
      </w:r>
      <w:proofErr w:type="spellEnd"/>
      <w:r>
        <w:t xml:space="preserve"> à linge que l'on va clip</w:t>
      </w:r>
      <w:r>
        <w:t>per au pied de l'anévrisme, sur le collet (anévrisme = poche + collet/liaison vaisseau-poche) le sang ne circule plus dans la poche, l'anévrisme va se résorber</w:t>
      </w:r>
    </w:p>
    <w:p w:rsidR="0024395C" w:rsidRDefault="0024395C">
      <w:pPr>
        <w:pStyle w:val="Standard"/>
        <w:rPr>
          <w:b/>
          <w:bCs/>
        </w:rPr>
      </w:pPr>
    </w:p>
    <w:p w:rsidR="0024395C" w:rsidRDefault="0024395C">
      <w:pPr>
        <w:pStyle w:val="Standard"/>
        <w:rPr>
          <w:b/>
          <w:bCs/>
        </w:rPr>
      </w:pPr>
    </w:p>
    <w:p w:rsidR="0024395C" w:rsidRDefault="0024395C">
      <w:pPr>
        <w:pStyle w:val="Standard"/>
        <w:rPr>
          <w:b/>
          <w:bCs/>
        </w:rPr>
      </w:pPr>
    </w:p>
    <w:p w:rsidR="0024395C" w:rsidRDefault="00C839DD">
      <w:pPr>
        <w:pStyle w:val="Standard"/>
        <w:ind w:right="3450"/>
      </w:pPr>
      <w:r>
        <w:rPr>
          <w:b/>
          <w:bCs/>
          <w:noProof/>
          <w:lang w:eastAsia="fr-FR" w:bidi="ar-SA"/>
        </w:rPr>
        <w:drawing>
          <wp:anchor distT="0" distB="0" distL="114300" distR="114300" simplePos="0" relativeHeight="251646464" behindDoc="0" locked="0" layoutInCell="1" allowOverlap="1">
            <wp:simplePos x="0" y="0"/>
            <wp:positionH relativeFrom="column">
              <wp:posOffset>3984123</wp:posOffset>
            </wp:positionH>
            <wp:positionV relativeFrom="paragraph">
              <wp:posOffset>17638</wp:posOffset>
            </wp:positionV>
            <wp:extent cx="2238844" cy="1810438"/>
            <wp:effectExtent l="0" t="0" r="0" b="0"/>
            <wp:wrapSquare wrapText="bothSides"/>
            <wp:docPr id="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238844" cy="1810438"/>
                    </a:xfrm>
                    <a:prstGeom prst="rect">
                      <a:avLst/>
                    </a:prstGeom>
                    <a:noFill/>
                    <a:ln>
                      <a:noFill/>
                      <a:prstDash/>
                    </a:ln>
                  </pic:spPr>
                </pic:pic>
              </a:graphicData>
            </a:graphic>
          </wp:anchor>
        </w:drawing>
      </w:r>
    </w:p>
    <w:p w:rsidR="0024395C" w:rsidRDefault="00C839DD">
      <w:pPr>
        <w:pStyle w:val="Standard"/>
        <w:ind w:right="3450"/>
      </w:pPr>
      <w:r>
        <w:t>-</w:t>
      </w:r>
      <w:r w:rsidRPr="00164439">
        <w:rPr>
          <w:b/>
        </w:rPr>
        <w:t xml:space="preserve">Le </w:t>
      </w:r>
      <w:proofErr w:type="spellStart"/>
      <w:r w:rsidRPr="00164439">
        <w:rPr>
          <w:b/>
        </w:rPr>
        <w:t>coiling</w:t>
      </w:r>
      <w:proofErr w:type="spellEnd"/>
      <w:r>
        <w:t xml:space="preserve"> : traitement </w:t>
      </w:r>
      <w:proofErr w:type="spellStart"/>
      <w:r>
        <w:t>endovasculaire</w:t>
      </w:r>
      <w:proofErr w:type="spellEnd"/>
      <w:r>
        <w:t xml:space="preserve"> : on rempli le sac de microfibre métallique pour </w:t>
      </w:r>
      <w:r>
        <w:t xml:space="preserve">qu'il se thrombose pour finir par se nécroser. Le </w:t>
      </w:r>
      <w:proofErr w:type="spellStart"/>
      <w:r>
        <w:t>coil</w:t>
      </w:r>
      <w:proofErr w:type="spellEnd"/>
      <w:r>
        <w:t xml:space="preserve"> reste ensuite en place.</w:t>
      </w:r>
    </w:p>
    <w:p w:rsidR="0024395C" w:rsidRDefault="00C839DD">
      <w:pPr>
        <w:pStyle w:val="Standard"/>
        <w:ind w:right="3450"/>
      </w:pPr>
      <w:r>
        <w:t xml:space="preserve">En France on préfère le </w:t>
      </w:r>
      <w:proofErr w:type="spellStart"/>
      <w:r>
        <w:t>coil</w:t>
      </w:r>
      <w:proofErr w:type="spellEnd"/>
      <w:r>
        <w:t>.</w:t>
      </w:r>
    </w:p>
    <w:p w:rsidR="0024395C" w:rsidRDefault="00C839DD">
      <w:pPr>
        <w:pStyle w:val="Standard"/>
        <w:ind w:right="3450"/>
      </w:pPr>
      <w:r>
        <w:t xml:space="preserve">Complication : la spire du </w:t>
      </w:r>
      <w:proofErr w:type="spellStart"/>
      <w:r>
        <w:t>coil</w:t>
      </w:r>
      <w:proofErr w:type="spellEnd"/>
      <w:r>
        <w:t xml:space="preserve"> qui plonge dans le vaisseau, c'est très dangereux, ça peut faire des thromboses secondaires. On donne donc des </w:t>
      </w:r>
      <w:proofErr w:type="spellStart"/>
      <w:r>
        <w:t>anti</w:t>
      </w:r>
      <w:r>
        <w:t>aggrégants</w:t>
      </w:r>
      <w:proofErr w:type="spellEnd"/>
      <w:r>
        <w:t xml:space="preserve"> plaquettaires en prophylaxie. Malgré ça il y a en général moins de </w:t>
      </w:r>
      <w:proofErr w:type="spellStart"/>
      <w:r>
        <w:t>comorbidités</w:t>
      </w:r>
      <w:proofErr w:type="spellEnd"/>
      <w:r>
        <w:t xml:space="preserve"> post geste avec les </w:t>
      </w:r>
      <w:proofErr w:type="spellStart"/>
      <w:r>
        <w:t>coil</w:t>
      </w:r>
      <w:proofErr w:type="spellEnd"/>
      <w:r>
        <w:t>.</w:t>
      </w:r>
    </w:p>
    <w:p w:rsidR="0024395C" w:rsidRDefault="0024395C">
      <w:pPr>
        <w:pStyle w:val="Standard"/>
        <w:ind w:right="3450"/>
        <w:rPr>
          <w:b/>
          <w:bCs/>
        </w:rPr>
      </w:pPr>
    </w:p>
    <w:p w:rsidR="0024395C" w:rsidRDefault="0024395C">
      <w:pPr>
        <w:pStyle w:val="Standard"/>
        <w:ind w:right="3450"/>
        <w:rPr>
          <w:b/>
          <w:bCs/>
        </w:rPr>
      </w:pPr>
    </w:p>
    <w:p w:rsidR="0024395C" w:rsidRDefault="0024395C">
      <w:pPr>
        <w:pStyle w:val="Standard"/>
        <w:ind w:right="-30"/>
        <w:rPr>
          <w:b/>
          <w:bCs/>
        </w:rPr>
      </w:pPr>
    </w:p>
    <w:p w:rsidR="0024395C" w:rsidRDefault="00C839DD">
      <w:pPr>
        <w:pStyle w:val="Standard"/>
        <w:ind w:right="-30"/>
      </w:pPr>
      <w:r w:rsidRPr="00164439">
        <w:rPr>
          <w:b/>
        </w:rPr>
        <w:t>Complications des hémorragies méningées</w:t>
      </w:r>
      <w:r>
        <w:t> :</w:t>
      </w:r>
    </w:p>
    <w:p w:rsidR="0024395C" w:rsidRDefault="00C839DD">
      <w:pPr>
        <w:pStyle w:val="Standard"/>
        <w:ind w:right="-30"/>
      </w:pPr>
      <w:r>
        <w:t>-L’HTIC souvent associée aux grades cliniques sévères et qui est un facteur de mauvais pronost</w:t>
      </w:r>
      <w:r>
        <w:t>ic</w:t>
      </w:r>
    </w:p>
    <w:p w:rsidR="0024395C" w:rsidRDefault="00C839DD">
      <w:pPr>
        <w:pStyle w:val="Standard"/>
        <w:ind w:right="-30"/>
        <w:rPr>
          <w:bCs/>
        </w:rPr>
      </w:pPr>
      <w:r>
        <w:rPr>
          <w:bCs/>
        </w:rPr>
        <w:t xml:space="preserve">-Les convulsions, surtout en phase aigue, généralisées, qui peuvent provoquer ou indiquer un nouveau </w:t>
      </w:r>
      <w:proofErr w:type="spellStart"/>
      <w:r>
        <w:rPr>
          <w:bCs/>
        </w:rPr>
        <w:t>resaignement</w:t>
      </w:r>
      <w:proofErr w:type="spellEnd"/>
    </w:p>
    <w:p w:rsidR="0024395C" w:rsidRDefault="00C839DD">
      <w:pPr>
        <w:pStyle w:val="Standard"/>
        <w:ind w:right="-30"/>
        <w:rPr>
          <w:bCs/>
        </w:rPr>
      </w:pPr>
      <w:r>
        <w:rPr>
          <w:bCs/>
        </w:rPr>
        <w:t xml:space="preserve">-Les complications cardiovasculaires : une myocardite adrénergique ou un œdème pulmonaire </w:t>
      </w:r>
      <w:proofErr w:type="spellStart"/>
      <w:r>
        <w:rPr>
          <w:bCs/>
        </w:rPr>
        <w:t>neurogénique</w:t>
      </w:r>
      <w:proofErr w:type="spellEnd"/>
      <w:r>
        <w:rPr>
          <w:bCs/>
        </w:rPr>
        <w:t xml:space="preserve">. </w:t>
      </w:r>
    </w:p>
    <w:p w:rsidR="0024395C" w:rsidRDefault="00C839DD">
      <w:pPr>
        <w:pStyle w:val="Standard"/>
        <w:ind w:right="-30"/>
        <w:rPr>
          <w:bCs/>
        </w:rPr>
      </w:pPr>
      <w:r>
        <w:rPr>
          <w:bCs/>
        </w:rPr>
        <w:t>-HTA, Troubles à l’ECG, Hyponatrém</w:t>
      </w:r>
      <w:r>
        <w:rPr>
          <w:bCs/>
        </w:rPr>
        <w:t>ie</w:t>
      </w:r>
    </w:p>
    <w:p w:rsidR="00164439" w:rsidRDefault="00C839DD">
      <w:pPr>
        <w:pStyle w:val="Standard"/>
        <w:ind w:right="-30"/>
        <w:rPr>
          <w:bCs/>
        </w:rPr>
      </w:pPr>
      <w:r>
        <w:rPr>
          <w:bCs/>
        </w:rPr>
        <w:t xml:space="preserve">-Ensuite si on a du sang autour du polygone de Willis, les vaisseaux peuvent se </w:t>
      </w:r>
      <w:proofErr w:type="spellStart"/>
      <w:r>
        <w:rPr>
          <w:bCs/>
        </w:rPr>
        <w:t>sténoser</w:t>
      </w:r>
      <w:proofErr w:type="spellEnd"/>
      <w:r>
        <w:rPr>
          <w:bCs/>
        </w:rPr>
        <w:t xml:space="preserve"> secondairement </w:t>
      </w:r>
      <w:r w:rsidR="00164439">
        <w:rPr>
          <w:bCs/>
        </w:rPr>
        <w:t>n’ importe où</w:t>
      </w:r>
      <w:r>
        <w:rPr>
          <w:bCs/>
        </w:rPr>
        <w:t xml:space="preserve"> dans le polygone. Ce </w:t>
      </w:r>
      <w:proofErr w:type="spellStart"/>
      <w:r w:rsidRPr="00164439">
        <w:rPr>
          <w:b/>
          <w:bCs/>
        </w:rPr>
        <w:t>vasospasme</w:t>
      </w:r>
      <w:proofErr w:type="spellEnd"/>
      <w:r>
        <w:rPr>
          <w:bCs/>
        </w:rPr>
        <w:t xml:space="preserve"> peut être très délétère et entrainer des paralysies, des hémianopsies et tout un tas de complications, </w:t>
      </w:r>
      <w:r>
        <w:rPr>
          <w:bCs/>
        </w:rPr>
        <w:t>ou plus simple, la mort. C’est un risque ischémique majeur d’autant plus qu’il est fréquent (60% des hémor</w:t>
      </w:r>
      <w:r w:rsidR="00164439">
        <w:rPr>
          <w:bCs/>
        </w:rPr>
        <w:t xml:space="preserve">ragies sous </w:t>
      </w:r>
      <w:proofErr w:type="spellStart"/>
      <w:r w:rsidR="00164439">
        <w:rPr>
          <w:bCs/>
        </w:rPr>
        <w:t>arachnoidiennes</w:t>
      </w:r>
      <w:proofErr w:type="spellEnd"/>
      <w:r w:rsidR="00164439">
        <w:rPr>
          <w:bCs/>
        </w:rPr>
        <w:t>) et qu’il</w:t>
      </w:r>
      <w:r>
        <w:rPr>
          <w:bCs/>
        </w:rPr>
        <w:t xml:space="preserve"> survient pr</w:t>
      </w:r>
      <w:r w:rsidR="00164439">
        <w:rPr>
          <w:bCs/>
        </w:rPr>
        <w:t>incipalement dans les 15 jours.</w:t>
      </w:r>
    </w:p>
    <w:p w:rsidR="0024395C" w:rsidRDefault="00C839DD">
      <w:pPr>
        <w:pStyle w:val="Standard"/>
        <w:ind w:right="-30"/>
        <w:rPr>
          <w:bCs/>
        </w:rPr>
      </w:pPr>
      <w:r>
        <w:rPr>
          <w:bCs/>
        </w:rPr>
        <w:t>Cliniquement, on observe de la fièvre, une somnolence, ou au contraire une</w:t>
      </w:r>
      <w:r>
        <w:rPr>
          <w:bCs/>
        </w:rPr>
        <w:t xml:space="preserve"> agitation et une confusion, une altération de la conscience, parfois des déficits neurologiques et des convulsions, mais dans la majorité des cas (80%), il n’y a pas de signes cliniques.</w:t>
      </w:r>
    </w:p>
    <w:p w:rsidR="0024395C" w:rsidRDefault="0024395C">
      <w:pPr>
        <w:pStyle w:val="Standard"/>
        <w:ind w:right="-30"/>
        <w:rPr>
          <w:bCs/>
        </w:rPr>
      </w:pPr>
    </w:p>
    <w:p w:rsidR="00490DBB" w:rsidRDefault="00490DBB">
      <w:pPr>
        <w:pStyle w:val="Standard"/>
        <w:ind w:right="-30"/>
        <w:rPr>
          <w:bCs/>
        </w:rPr>
      </w:pPr>
    </w:p>
    <w:p w:rsidR="0024395C" w:rsidRDefault="00C839DD">
      <w:pPr>
        <w:pStyle w:val="Standard"/>
        <w:ind w:right="-30"/>
        <w:rPr>
          <w:bCs/>
        </w:rPr>
      </w:pPr>
      <w:r>
        <w:rPr>
          <w:bCs/>
        </w:rPr>
        <w:t xml:space="preserve">Le </w:t>
      </w:r>
      <w:r w:rsidRPr="00164439">
        <w:rPr>
          <w:b/>
          <w:bCs/>
        </w:rPr>
        <w:t>pronostic des hémorragies méningées</w:t>
      </w:r>
      <w:r>
        <w:rPr>
          <w:bCs/>
        </w:rPr>
        <w:t xml:space="preserve"> dépend de l’âge du patient e</w:t>
      </w:r>
      <w:r>
        <w:rPr>
          <w:bCs/>
        </w:rPr>
        <w:t>t de la profondeur de son coma ou trouble de la conscience. Plus on est vieux et comateux, moins c’est good.</w:t>
      </w:r>
    </w:p>
    <w:p w:rsidR="0024395C" w:rsidRDefault="00C839DD">
      <w:pPr>
        <w:pStyle w:val="Standard"/>
        <w:ind w:right="-30"/>
        <w:rPr>
          <w:bCs/>
        </w:rPr>
      </w:pPr>
      <w:r>
        <w:rPr>
          <w:bCs/>
        </w:rPr>
        <w:t>Les chiffres ne sont pas importants (dixit prof) mais pour vous donner une idée : si on arrive conscient on a 74% de chance récupérer, si on arrive</w:t>
      </w:r>
      <w:r>
        <w:rPr>
          <w:bCs/>
        </w:rPr>
        <w:t xml:space="preserve"> comateux on a 73% de risque de mourir. Si on a moins de 40 ans, 76% de </w:t>
      </w:r>
      <w:proofErr w:type="spellStart"/>
      <w:r>
        <w:rPr>
          <w:bCs/>
        </w:rPr>
        <w:t>récuperer</w:t>
      </w:r>
      <w:proofErr w:type="spellEnd"/>
      <w:r>
        <w:rPr>
          <w:bCs/>
        </w:rPr>
        <w:t>, si on a plus de 60 ans, 39% de risque de mourir.</w:t>
      </w:r>
    </w:p>
    <w:p w:rsidR="0024395C" w:rsidRDefault="0024395C">
      <w:pPr>
        <w:pStyle w:val="Standard"/>
        <w:ind w:right="-30"/>
        <w:rPr>
          <w:bCs/>
        </w:rPr>
      </w:pPr>
    </w:p>
    <w:p w:rsidR="00490DBB" w:rsidRDefault="00490DBB">
      <w:pPr>
        <w:pStyle w:val="Standard"/>
        <w:ind w:right="-30"/>
        <w:rPr>
          <w:bCs/>
        </w:rPr>
      </w:pPr>
    </w:p>
    <w:p w:rsidR="0024395C" w:rsidRDefault="00C839DD">
      <w:pPr>
        <w:pStyle w:val="Standard"/>
        <w:ind w:right="-30"/>
        <w:rPr>
          <w:bCs/>
        </w:rPr>
      </w:pPr>
      <w:r w:rsidRPr="00164439">
        <w:rPr>
          <w:b/>
          <w:bCs/>
        </w:rPr>
        <w:t>CCL</w:t>
      </w:r>
      <w:r>
        <w:rPr>
          <w:bCs/>
        </w:rPr>
        <w:t xml:space="preserve"> sur cette partie : à retenir la présentation clinique, les exams de recherche étiologique et surtout la grande priorité</w:t>
      </w:r>
      <w:r>
        <w:rPr>
          <w:bCs/>
        </w:rPr>
        <w:t xml:space="preserve"> des hémorragies méningées : on exclu l’étiologie de l’anévrysme en urgence (qui </w:t>
      </w:r>
      <w:proofErr w:type="spellStart"/>
      <w:r>
        <w:rPr>
          <w:bCs/>
        </w:rPr>
        <w:t>nécéssite</w:t>
      </w:r>
      <w:proofErr w:type="spellEnd"/>
      <w:r>
        <w:rPr>
          <w:bCs/>
        </w:rPr>
        <w:t xml:space="preserve"> une opération </w:t>
      </w:r>
      <w:proofErr w:type="spellStart"/>
      <w:r>
        <w:rPr>
          <w:bCs/>
        </w:rPr>
        <w:t>neurochir</w:t>
      </w:r>
      <w:proofErr w:type="spellEnd"/>
      <w:r>
        <w:rPr>
          <w:bCs/>
        </w:rPr>
        <w:t xml:space="preserve"> et qui est à grand risque de saignements secondaires)</w:t>
      </w:r>
    </w:p>
    <w:p w:rsidR="0024395C" w:rsidRDefault="0024395C">
      <w:pPr>
        <w:pStyle w:val="Standard"/>
        <w:ind w:right="-30"/>
        <w:rPr>
          <w:bCs/>
        </w:rPr>
      </w:pPr>
    </w:p>
    <w:p w:rsidR="00490DBB" w:rsidRDefault="00490DBB">
      <w:pPr>
        <w:pStyle w:val="Standard"/>
        <w:ind w:right="-30"/>
        <w:rPr>
          <w:bCs/>
        </w:rPr>
      </w:pPr>
    </w:p>
    <w:p w:rsidR="0024395C" w:rsidRPr="00164439" w:rsidRDefault="00C839DD">
      <w:pPr>
        <w:pStyle w:val="Standard"/>
        <w:numPr>
          <w:ilvl w:val="0"/>
          <w:numId w:val="1"/>
        </w:numPr>
        <w:ind w:right="-30"/>
        <w:rPr>
          <w:bCs/>
          <w:u w:val="single"/>
        </w:rPr>
      </w:pPr>
      <w:r w:rsidRPr="00164439">
        <w:rPr>
          <w:bCs/>
          <w:u w:val="single"/>
        </w:rPr>
        <w:t>Les hématomes intra parenchymateux spontanés</w:t>
      </w:r>
    </w:p>
    <w:p w:rsidR="0024395C" w:rsidRDefault="0024395C">
      <w:pPr>
        <w:pStyle w:val="Standard"/>
        <w:ind w:right="-30"/>
        <w:rPr>
          <w:bCs/>
        </w:rPr>
      </w:pPr>
    </w:p>
    <w:p w:rsidR="0024395C" w:rsidRDefault="00C839DD">
      <w:pPr>
        <w:pStyle w:val="Standard"/>
        <w:numPr>
          <w:ilvl w:val="0"/>
          <w:numId w:val="10"/>
        </w:numPr>
        <w:ind w:right="-30"/>
        <w:rPr>
          <w:b/>
          <w:bCs/>
        </w:rPr>
      </w:pPr>
      <w:r w:rsidRPr="00164439">
        <w:rPr>
          <w:b/>
          <w:bCs/>
        </w:rPr>
        <w:t>Primitif</w:t>
      </w:r>
      <w:r w:rsidR="00164439">
        <w:rPr>
          <w:b/>
          <w:bCs/>
        </w:rPr>
        <w:t>s</w:t>
      </w:r>
      <w:r w:rsidRPr="00164439">
        <w:rPr>
          <w:b/>
          <w:bCs/>
        </w:rPr>
        <w:t> </w:t>
      </w:r>
    </w:p>
    <w:p w:rsidR="00164439" w:rsidRPr="00164439" w:rsidRDefault="00164439" w:rsidP="00164439">
      <w:pPr>
        <w:pStyle w:val="Standard"/>
        <w:ind w:left="360" w:right="-30"/>
        <w:rPr>
          <w:b/>
          <w:bCs/>
        </w:rPr>
      </w:pPr>
    </w:p>
    <w:p w:rsidR="0024395C" w:rsidRDefault="00C839DD">
      <w:pPr>
        <w:pStyle w:val="Standard"/>
        <w:ind w:right="-30"/>
        <w:rPr>
          <w:bCs/>
        </w:rPr>
      </w:pPr>
      <w:r>
        <w:rPr>
          <w:bCs/>
        </w:rPr>
        <w:t>Ils sont dû à l’</w:t>
      </w:r>
      <w:r w:rsidRPr="00164439">
        <w:rPr>
          <w:b/>
          <w:bCs/>
        </w:rPr>
        <w:t>HTA</w:t>
      </w:r>
      <w:r>
        <w:rPr>
          <w:bCs/>
        </w:rPr>
        <w:t xml:space="preserve">, ils </w:t>
      </w:r>
      <w:r>
        <w:rPr>
          <w:bCs/>
        </w:rPr>
        <w:t>surviennent brutalement, avec souvent des aggravations secondaires de la conscience. Si le patient est en coma profond l’hématome touche le tronc cérébral, et parfois on peut avoir une diffusion du sang dans les ventricules, provoquant des hydrocéphalies.</w:t>
      </w:r>
    </w:p>
    <w:p w:rsidR="0024395C" w:rsidRDefault="0024395C">
      <w:pPr>
        <w:pStyle w:val="Standard"/>
        <w:ind w:right="-30"/>
        <w:rPr>
          <w:bCs/>
        </w:rPr>
      </w:pPr>
    </w:p>
    <w:p w:rsidR="00164439" w:rsidRDefault="00C839DD" w:rsidP="00164439">
      <w:pPr>
        <w:pStyle w:val="Standard"/>
        <w:ind w:right="-30"/>
        <w:rPr>
          <w:bCs/>
        </w:rPr>
      </w:pPr>
      <w:r>
        <w:rPr>
          <w:bCs/>
        </w:rPr>
        <w:t xml:space="preserve">On opère rarement les hématomes intra-parenchymateux, car en général ils sont profonds et on fait </w:t>
      </w:r>
      <w:r>
        <w:rPr>
          <w:bCs/>
        </w:rPr>
        <w:lastRenderedPageBreak/>
        <w:t xml:space="preserve">plus de lésions en opérant que l’hématome en lui-même, cela se fait au cas par cas. On peut éventuellement </w:t>
      </w:r>
      <w:r w:rsidR="004A64A3">
        <w:rPr>
          <w:bCs/>
        </w:rPr>
        <w:t>opérer</w:t>
      </w:r>
      <w:r>
        <w:rPr>
          <w:bCs/>
        </w:rPr>
        <w:t xml:space="preserve"> si l’hématome touche un lobe ou le cervelet</w:t>
      </w:r>
      <w:r>
        <w:rPr>
          <w:bCs/>
        </w:rPr>
        <w:t>, (mais pas le tronc cérébral), si le patient est jeune, et si l’hématome se situe dans l’hémisphère mineur (l’hémisphère droit pour les droitiers et vice versa).</w:t>
      </w:r>
      <w:r w:rsidR="00164439" w:rsidRPr="00164439">
        <w:rPr>
          <w:bCs/>
        </w:rPr>
        <w:t xml:space="preserve"> </w:t>
      </w:r>
      <w:r w:rsidR="00164439">
        <w:rPr>
          <w:bCs/>
        </w:rPr>
        <w:t>Mais dans tous les cas, il n’y a pas de différence statistique si on est opéré ou non, c’est vraiment que dans des cas très particuliers.</w:t>
      </w:r>
    </w:p>
    <w:p w:rsidR="0024395C" w:rsidRDefault="0024395C">
      <w:pPr>
        <w:pStyle w:val="Standard"/>
        <w:ind w:right="-30"/>
        <w:rPr>
          <w:bCs/>
        </w:rPr>
      </w:pPr>
    </w:p>
    <w:p w:rsidR="0024395C" w:rsidRDefault="00C839DD">
      <w:pPr>
        <w:pStyle w:val="Standard"/>
        <w:ind w:right="-30"/>
        <w:rPr>
          <w:bCs/>
        </w:rPr>
      </w:pPr>
      <w:r>
        <w:rPr>
          <w:bCs/>
        </w:rPr>
        <w:t>Par contre on soigne l’HTIC secondaire et les hydrocéphalies intra-ventriculaires par des pon</w:t>
      </w:r>
      <w:r>
        <w:rPr>
          <w:bCs/>
        </w:rPr>
        <w:t xml:space="preserve">ctions, des évacuations ou des dérivations ventriculaires externes. </w:t>
      </w:r>
    </w:p>
    <w:p w:rsidR="0093296E" w:rsidRDefault="0093296E">
      <w:pPr>
        <w:pStyle w:val="Standard"/>
        <w:ind w:right="-30"/>
        <w:rPr>
          <w:bCs/>
        </w:rPr>
      </w:pPr>
    </w:p>
    <w:p w:rsidR="0093296E" w:rsidRDefault="0093296E">
      <w:pPr>
        <w:pStyle w:val="Standard"/>
        <w:ind w:right="-30"/>
        <w:rPr>
          <w:bCs/>
        </w:rPr>
      </w:pPr>
      <w:r>
        <w:rPr>
          <w:bCs/>
        </w:rPr>
        <w:t xml:space="preserve">Les autres causes d’hémorragies </w:t>
      </w:r>
      <w:r w:rsidR="000D7B18">
        <w:rPr>
          <w:bCs/>
        </w:rPr>
        <w:t>intracérébrales</w:t>
      </w:r>
      <w:r>
        <w:rPr>
          <w:bCs/>
        </w:rPr>
        <w:t xml:space="preserve"> sont :</w:t>
      </w:r>
    </w:p>
    <w:p w:rsidR="0093296E" w:rsidRDefault="0093296E">
      <w:pPr>
        <w:pStyle w:val="Standard"/>
        <w:ind w:right="-30"/>
        <w:rPr>
          <w:bCs/>
        </w:rPr>
      </w:pPr>
      <w:r>
        <w:rPr>
          <w:bCs/>
        </w:rPr>
        <w:t xml:space="preserve">-angiopathies </w:t>
      </w:r>
      <w:r w:rsidR="000D7B18">
        <w:rPr>
          <w:bCs/>
        </w:rPr>
        <w:t>amyloïde</w:t>
      </w:r>
      <w:r>
        <w:rPr>
          <w:bCs/>
        </w:rPr>
        <w:t xml:space="preserve"> provoquant des hématomes sous-corticaux</w:t>
      </w:r>
    </w:p>
    <w:p w:rsidR="0093296E" w:rsidRDefault="0093296E">
      <w:pPr>
        <w:pStyle w:val="Standard"/>
        <w:ind w:right="-30"/>
        <w:rPr>
          <w:bCs/>
        </w:rPr>
      </w:pPr>
      <w:r>
        <w:rPr>
          <w:bCs/>
        </w:rPr>
        <w:t>- de cause médicamenteuses : fibrinolytiques ou drogue</w:t>
      </w:r>
    </w:p>
    <w:p w:rsidR="0093296E" w:rsidRDefault="0093296E">
      <w:pPr>
        <w:pStyle w:val="Standard"/>
        <w:ind w:right="-30"/>
        <w:rPr>
          <w:bCs/>
        </w:rPr>
      </w:pPr>
      <w:r>
        <w:rPr>
          <w:bCs/>
        </w:rPr>
        <w:t>-dû à des troubles de la coagulation : alcool (insuffisance hépatique) ou à cause d’anticoagulants.</w:t>
      </w:r>
    </w:p>
    <w:p w:rsidR="0024395C" w:rsidRDefault="0024395C">
      <w:pPr>
        <w:pStyle w:val="Standard"/>
        <w:ind w:right="-30"/>
        <w:rPr>
          <w:bCs/>
        </w:rPr>
      </w:pPr>
    </w:p>
    <w:p w:rsidR="0024395C" w:rsidRPr="00164439" w:rsidRDefault="00C839DD">
      <w:pPr>
        <w:pStyle w:val="Standard"/>
        <w:numPr>
          <w:ilvl w:val="0"/>
          <w:numId w:val="10"/>
        </w:numPr>
        <w:ind w:right="-30"/>
        <w:rPr>
          <w:b/>
          <w:bCs/>
        </w:rPr>
      </w:pPr>
      <w:r w:rsidRPr="00164439">
        <w:rPr>
          <w:b/>
          <w:bCs/>
        </w:rPr>
        <w:t>Secondaire</w:t>
      </w:r>
      <w:r w:rsidR="00164439">
        <w:rPr>
          <w:b/>
          <w:bCs/>
        </w:rPr>
        <w:t>s</w:t>
      </w:r>
    </w:p>
    <w:p w:rsidR="00164439" w:rsidRDefault="00164439" w:rsidP="00164439">
      <w:pPr>
        <w:pStyle w:val="Standard"/>
        <w:ind w:left="360" w:right="-30"/>
        <w:rPr>
          <w:bCs/>
        </w:rPr>
      </w:pPr>
    </w:p>
    <w:p w:rsidR="0024395C" w:rsidRDefault="004A64A3">
      <w:pPr>
        <w:pStyle w:val="Standard"/>
        <w:ind w:right="-30"/>
        <w:rPr>
          <w:bCs/>
        </w:rPr>
      </w:pPr>
      <w:r>
        <w:rPr>
          <w:bCs/>
        </w:rPr>
        <w:t>Ils peuvent être dû</w:t>
      </w:r>
      <w:r w:rsidR="00C839DD">
        <w:rPr>
          <w:bCs/>
        </w:rPr>
        <w:t xml:space="preserve"> à</w:t>
      </w:r>
    </w:p>
    <w:p w:rsidR="0024395C" w:rsidRDefault="00C839DD">
      <w:pPr>
        <w:pStyle w:val="Standard"/>
        <w:ind w:right="-30"/>
        <w:rPr>
          <w:bCs/>
        </w:rPr>
      </w:pPr>
      <w:r>
        <w:rPr>
          <w:bCs/>
        </w:rPr>
        <w:t>-une thrombophl</w:t>
      </w:r>
      <w:r>
        <w:rPr>
          <w:bCs/>
        </w:rPr>
        <w:t>ébite cérébrale, c’est exceptionnel et rarement opéré</w:t>
      </w:r>
    </w:p>
    <w:p w:rsidR="0024395C" w:rsidRDefault="00C839DD">
      <w:pPr>
        <w:pStyle w:val="Standard"/>
        <w:ind w:right="-30"/>
        <w:rPr>
          <w:bCs/>
        </w:rPr>
      </w:pPr>
      <w:r>
        <w:rPr>
          <w:bCs/>
        </w:rPr>
        <w:t xml:space="preserve">-un </w:t>
      </w:r>
      <w:proofErr w:type="spellStart"/>
      <w:r>
        <w:rPr>
          <w:bCs/>
        </w:rPr>
        <w:t>cavernome</w:t>
      </w:r>
      <w:proofErr w:type="spellEnd"/>
      <w:r>
        <w:rPr>
          <w:bCs/>
        </w:rPr>
        <w:t>, ce sont des petites malformations provoquant des petits hémat</w:t>
      </w:r>
      <w:r w:rsidR="004A64A3">
        <w:rPr>
          <w:bCs/>
        </w:rPr>
        <w:t>omes ronds biens délimités. I</w:t>
      </w:r>
      <w:r>
        <w:rPr>
          <w:bCs/>
        </w:rPr>
        <w:t xml:space="preserve">ls sont plus fréquents dans le </w:t>
      </w:r>
      <w:r w:rsidR="00F95A50">
        <w:rPr>
          <w:bCs/>
        </w:rPr>
        <w:t>t</w:t>
      </w:r>
      <w:r>
        <w:rPr>
          <w:bCs/>
        </w:rPr>
        <w:t>ronc cérébral.</w:t>
      </w:r>
    </w:p>
    <w:p w:rsidR="0024395C" w:rsidRDefault="0024395C">
      <w:pPr>
        <w:pStyle w:val="Standard"/>
        <w:ind w:right="-30"/>
        <w:rPr>
          <w:bCs/>
        </w:rPr>
      </w:pPr>
    </w:p>
    <w:p w:rsidR="00686CF9" w:rsidRPr="00686CF9" w:rsidRDefault="00490DBB">
      <w:pPr>
        <w:pStyle w:val="Standard"/>
        <w:ind w:right="-30"/>
        <w:rPr>
          <w:bCs/>
        </w:rPr>
      </w:pPr>
      <w:r>
        <w:rPr>
          <w:bCs/>
          <w:noProof/>
          <w:lang w:eastAsia="fr-FR" w:bidi="ar-SA"/>
        </w:rPr>
        <w:drawing>
          <wp:anchor distT="0" distB="0" distL="114300" distR="114300" simplePos="0" relativeHeight="251672064" behindDoc="1" locked="0" layoutInCell="1" allowOverlap="1">
            <wp:simplePos x="0" y="0"/>
            <wp:positionH relativeFrom="column">
              <wp:posOffset>4944745</wp:posOffset>
            </wp:positionH>
            <wp:positionV relativeFrom="paragraph">
              <wp:posOffset>33020</wp:posOffset>
            </wp:positionV>
            <wp:extent cx="1490345" cy="1148080"/>
            <wp:effectExtent l="19050" t="0" r="0" b="0"/>
            <wp:wrapNone/>
            <wp:docPr id="4" name="Image 1" descr="C:\Users\Fanny\Picture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Pictures\photo 4.JPG"/>
                    <pic:cNvPicPr>
                      <a:picLocks noChangeAspect="1" noChangeArrowheads="1"/>
                    </pic:cNvPicPr>
                  </pic:nvPicPr>
                  <pic:blipFill>
                    <a:blip r:embed="rId10" cstate="print"/>
                    <a:srcRect r="-321" b="11333"/>
                    <a:stretch>
                      <a:fillRect/>
                    </a:stretch>
                  </pic:blipFill>
                  <pic:spPr bwMode="auto">
                    <a:xfrm>
                      <a:off x="0" y="0"/>
                      <a:ext cx="1490345" cy="1148080"/>
                    </a:xfrm>
                    <a:prstGeom prst="rect">
                      <a:avLst/>
                    </a:prstGeom>
                    <a:noFill/>
                    <a:ln w="9525">
                      <a:noFill/>
                      <a:miter lim="800000"/>
                      <a:headEnd/>
                      <a:tailEnd/>
                    </a:ln>
                  </pic:spPr>
                </pic:pic>
              </a:graphicData>
            </a:graphic>
          </wp:anchor>
        </w:drawing>
      </w:r>
      <w:r w:rsidR="00686CF9">
        <w:rPr>
          <w:bCs/>
        </w:rPr>
        <w:t>Ils peuvent ég</w:t>
      </w:r>
      <w:r w:rsidR="00DC79AF">
        <w:rPr>
          <w:bCs/>
        </w:rPr>
        <w:t xml:space="preserve">alement être provoqués par des </w:t>
      </w:r>
      <w:r w:rsidR="00DC79AF" w:rsidRPr="00164439">
        <w:rPr>
          <w:b/>
          <w:bCs/>
        </w:rPr>
        <w:t>m</w:t>
      </w:r>
      <w:r w:rsidR="00686CF9" w:rsidRPr="00164439">
        <w:rPr>
          <w:b/>
          <w:bCs/>
        </w:rPr>
        <w:t xml:space="preserve">alformations </w:t>
      </w:r>
      <w:proofErr w:type="spellStart"/>
      <w:r w:rsidR="00686CF9" w:rsidRPr="00164439">
        <w:rPr>
          <w:b/>
          <w:bCs/>
        </w:rPr>
        <w:t>artério</w:t>
      </w:r>
      <w:proofErr w:type="spellEnd"/>
      <w:r w:rsidR="00686CF9" w:rsidRPr="00164439">
        <w:rPr>
          <w:b/>
          <w:bCs/>
        </w:rPr>
        <w:t>-veineuses</w:t>
      </w:r>
      <w:r w:rsidR="00686CF9">
        <w:rPr>
          <w:bCs/>
        </w:rPr>
        <w:t>.</w:t>
      </w:r>
      <w:r w:rsidR="00686CF9" w:rsidRPr="00686CF9">
        <w:rPr>
          <w:rStyle w:val="Normal"/>
          <w:rFonts w:ascii="Times New Roman" w:eastAsia="Times New Roman" w:hAnsi="Times New Roman" w:cs="Times New Roman"/>
          <w:snapToGrid w:val="0"/>
          <w:color w:val="000000"/>
          <w:w w:val="0"/>
          <w:kern w:val="0"/>
          <w:sz w:val="0"/>
          <w:szCs w:val="0"/>
          <w:u w:color="000000"/>
          <w:bdr w:val="none" w:sz="0" w:space="0" w:color="000000"/>
          <w:shd w:val="clear" w:color="000000" w:fill="000000"/>
          <w:lang/>
        </w:rPr>
        <w:t xml:space="preserve"> </w:t>
      </w:r>
    </w:p>
    <w:p w:rsidR="009E326A" w:rsidRDefault="00686CF9">
      <w:pPr>
        <w:pStyle w:val="Standard"/>
        <w:ind w:right="-30"/>
        <w:rPr>
          <w:bCs/>
        </w:rPr>
      </w:pPr>
      <w:r>
        <w:rPr>
          <w:bCs/>
        </w:rPr>
        <w:t>Les MAV sont des</w:t>
      </w:r>
      <w:r w:rsidR="00F95A50">
        <w:rPr>
          <w:bCs/>
        </w:rPr>
        <w:t xml:space="preserve"> boule</w:t>
      </w:r>
      <w:r>
        <w:rPr>
          <w:bCs/>
        </w:rPr>
        <w:t>s</w:t>
      </w:r>
      <w:r w:rsidR="00F95A50">
        <w:rPr>
          <w:bCs/>
        </w:rPr>
        <w:t xml:space="preserve"> de petits vaisseaux alimentés par une artère </w:t>
      </w:r>
    </w:p>
    <w:p w:rsidR="009E326A" w:rsidRDefault="00686CF9">
      <w:pPr>
        <w:pStyle w:val="Standard"/>
        <w:ind w:right="-30"/>
        <w:rPr>
          <w:bCs/>
        </w:rPr>
      </w:pPr>
      <w:proofErr w:type="gramStart"/>
      <w:r>
        <w:rPr>
          <w:bCs/>
        </w:rPr>
        <w:t>nourricière</w:t>
      </w:r>
      <w:proofErr w:type="gramEnd"/>
      <w:r>
        <w:rPr>
          <w:bCs/>
        </w:rPr>
        <w:t xml:space="preserve"> hypertrophiée</w:t>
      </w:r>
      <w:r w:rsidR="00F95A50">
        <w:rPr>
          <w:bCs/>
        </w:rPr>
        <w:t xml:space="preserve"> qui se termine par une veine de drainage plus  grosse</w:t>
      </w:r>
    </w:p>
    <w:p w:rsidR="009E326A" w:rsidRDefault="00F95A50">
      <w:pPr>
        <w:pStyle w:val="Standard"/>
        <w:ind w:right="-30"/>
        <w:rPr>
          <w:bCs/>
        </w:rPr>
      </w:pPr>
      <w:r>
        <w:rPr>
          <w:bCs/>
        </w:rPr>
        <w:t xml:space="preserve"> </w:t>
      </w:r>
      <w:proofErr w:type="gramStart"/>
      <w:r>
        <w:rPr>
          <w:bCs/>
        </w:rPr>
        <w:t>que</w:t>
      </w:r>
      <w:proofErr w:type="gramEnd"/>
      <w:r>
        <w:rPr>
          <w:bCs/>
        </w:rPr>
        <w:t xml:space="preserve"> la normale </w:t>
      </w:r>
      <w:r w:rsidR="00DC79AF">
        <w:rPr>
          <w:bCs/>
        </w:rPr>
        <w:t xml:space="preserve">et </w:t>
      </w:r>
      <w:r>
        <w:rPr>
          <w:bCs/>
        </w:rPr>
        <w:t>qui se jette ensuite dans le sinus caverneux.</w:t>
      </w:r>
      <w:r w:rsidR="00DC79AF">
        <w:rPr>
          <w:bCs/>
        </w:rPr>
        <w:t xml:space="preserve"> Au</w:t>
      </w:r>
      <w:r w:rsidR="00686CF9">
        <w:rPr>
          <w:bCs/>
        </w:rPr>
        <w:t xml:space="preserve"> milieu, le </w:t>
      </w:r>
    </w:p>
    <w:p w:rsidR="00490DBB" w:rsidRDefault="00686CF9">
      <w:pPr>
        <w:pStyle w:val="Standard"/>
        <w:ind w:right="-30"/>
        <w:rPr>
          <w:bCs/>
        </w:rPr>
      </w:pPr>
      <w:proofErr w:type="gramStart"/>
      <w:r>
        <w:rPr>
          <w:bCs/>
        </w:rPr>
        <w:t>shunt</w:t>
      </w:r>
      <w:proofErr w:type="gramEnd"/>
      <w:r>
        <w:rPr>
          <w:bCs/>
        </w:rPr>
        <w:t xml:space="preserve"> </w:t>
      </w:r>
      <w:proofErr w:type="spellStart"/>
      <w:r>
        <w:rPr>
          <w:bCs/>
        </w:rPr>
        <w:t>artério</w:t>
      </w:r>
      <w:proofErr w:type="spellEnd"/>
      <w:r>
        <w:rPr>
          <w:bCs/>
        </w:rPr>
        <w:t xml:space="preserve">-veineux se nomme le </w:t>
      </w:r>
      <w:proofErr w:type="spellStart"/>
      <w:r>
        <w:rPr>
          <w:bCs/>
        </w:rPr>
        <w:t>nidus</w:t>
      </w:r>
      <w:proofErr w:type="spellEnd"/>
      <w:r w:rsidR="00F95A50">
        <w:rPr>
          <w:bCs/>
        </w:rPr>
        <w:t xml:space="preserve">. Celui-ci peut être visible au scanner, </w:t>
      </w:r>
    </w:p>
    <w:p w:rsidR="00490DBB" w:rsidRDefault="00F95A50">
      <w:pPr>
        <w:pStyle w:val="Standard"/>
        <w:ind w:right="-30"/>
        <w:rPr>
          <w:bCs/>
        </w:rPr>
      </w:pPr>
      <w:proofErr w:type="gramStart"/>
      <w:r>
        <w:rPr>
          <w:bCs/>
        </w:rPr>
        <w:t>sauf</w:t>
      </w:r>
      <w:proofErr w:type="gramEnd"/>
      <w:r>
        <w:rPr>
          <w:bCs/>
        </w:rPr>
        <w:t xml:space="preserve"> s’il y a un hématome autour du </w:t>
      </w:r>
      <w:proofErr w:type="spellStart"/>
      <w:r>
        <w:rPr>
          <w:bCs/>
        </w:rPr>
        <w:t>nidus</w:t>
      </w:r>
      <w:proofErr w:type="spellEnd"/>
      <w:r>
        <w:rPr>
          <w:bCs/>
        </w:rPr>
        <w:t xml:space="preserve">, donc, si la MAV est rompue, on ne </w:t>
      </w:r>
    </w:p>
    <w:p w:rsidR="0024395C" w:rsidRDefault="00F95A50">
      <w:pPr>
        <w:pStyle w:val="Standard"/>
        <w:ind w:right="-30"/>
        <w:rPr>
          <w:bCs/>
        </w:rPr>
      </w:pPr>
      <w:proofErr w:type="gramStart"/>
      <w:r>
        <w:rPr>
          <w:bCs/>
        </w:rPr>
        <w:t>voit</w:t>
      </w:r>
      <w:proofErr w:type="gramEnd"/>
      <w:r>
        <w:rPr>
          <w:bCs/>
        </w:rPr>
        <w:t xml:space="preserve"> rien.</w:t>
      </w:r>
    </w:p>
    <w:p w:rsidR="00F95A50" w:rsidRDefault="00F95A50">
      <w:pPr>
        <w:pStyle w:val="Standard"/>
        <w:ind w:right="-30"/>
        <w:rPr>
          <w:bCs/>
        </w:rPr>
      </w:pPr>
    </w:p>
    <w:p w:rsidR="00F95A50" w:rsidRDefault="00F95A50">
      <w:pPr>
        <w:pStyle w:val="Standard"/>
        <w:ind w:right="-30"/>
        <w:rPr>
          <w:bCs/>
        </w:rPr>
      </w:pPr>
      <w:r>
        <w:rPr>
          <w:bCs/>
        </w:rPr>
        <w:t xml:space="preserve">L’IRM est plus spécifique, c’est l’examen de référence, on observe alors un </w:t>
      </w:r>
      <w:proofErr w:type="spellStart"/>
      <w:r>
        <w:rPr>
          <w:bCs/>
        </w:rPr>
        <w:t>hyposignal</w:t>
      </w:r>
      <w:proofErr w:type="spellEnd"/>
      <w:r>
        <w:rPr>
          <w:bCs/>
        </w:rPr>
        <w:t xml:space="preserve"> en T2 au niveau du </w:t>
      </w:r>
      <w:proofErr w:type="spellStart"/>
      <w:r>
        <w:rPr>
          <w:bCs/>
        </w:rPr>
        <w:t>nidus</w:t>
      </w:r>
      <w:proofErr w:type="spellEnd"/>
      <w:r>
        <w:rPr>
          <w:bCs/>
        </w:rPr>
        <w:t xml:space="preserve">, l’œdème cérébral, apparait lui en </w:t>
      </w:r>
      <w:proofErr w:type="spellStart"/>
      <w:r>
        <w:rPr>
          <w:bCs/>
        </w:rPr>
        <w:t>hypersignal</w:t>
      </w:r>
      <w:proofErr w:type="spellEnd"/>
      <w:r>
        <w:rPr>
          <w:bCs/>
        </w:rPr>
        <w:t>.</w:t>
      </w:r>
    </w:p>
    <w:p w:rsidR="003242FE" w:rsidRDefault="003242FE">
      <w:pPr>
        <w:pStyle w:val="Standard"/>
        <w:ind w:right="-30"/>
        <w:rPr>
          <w:bCs/>
        </w:rPr>
      </w:pPr>
      <w:r>
        <w:rPr>
          <w:bCs/>
        </w:rPr>
        <w:t>On peut aussi faire une artériographie, dans un</w:t>
      </w:r>
      <w:r w:rsidR="00DC79AF">
        <w:rPr>
          <w:bCs/>
        </w:rPr>
        <w:t xml:space="preserve"> second temps.</w:t>
      </w:r>
    </w:p>
    <w:p w:rsidR="003242FE" w:rsidRDefault="003242FE">
      <w:pPr>
        <w:pStyle w:val="Standard"/>
        <w:ind w:right="-30"/>
        <w:rPr>
          <w:bCs/>
        </w:rPr>
      </w:pPr>
    </w:p>
    <w:p w:rsidR="00DC79AF" w:rsidRDefault="00DC79AF">
      <w:pPr>
        <w:pStyle w:val="Standard"/>
        <w:ind w:right="-30"/>
        <w:rPr>
          <w:bCs/>
        </w:rPr>
      </w:pPr>
      <w:r>
        <w:rPr>
          <w:bCs/>
        </w:rPr>
        <w:t xml:space="preserve">On classe ensuite l’hémorragie suivant la classification de </w:t>
      </w:r>
      <w:proofErr w:type="spellStart"/>
      <w:r>
        <w:rPr>
          <w:bCs/>
        </w:rPr>
        <w:t>Spetz</w:t>
      </w:r>
      <w:r w:rsidR="00164439">
        <w:rPr>
          <w:bCs/>
        </w:rPr>
        <w:t>l</w:t>
      </w:r>
      <w:r>
        <w:rPr>
          <w:bCs/>
        </w:rPr>
        <w:t>er</w:t>
      </w:r>
      <w:proofErr w:type="spellEnd"/>
      <w:r>
        <w:rPr>
          <w:bCs/>
        </w:rPr>
        <w:t>-Martin</w:t>
      </w:r>
    </w:p>
    <w:p w:rsidR="00DC79AF" w:rsidRDefault="00DC79AF">
      <w:pPr>
        <w:pStyle w:val="Standard"/>
        <w:ind w:right="-30"/>
        <w:rPr>
          <w:bCs/>
        </w:rPr>
      </w:pPr>
    </w:p>
    <w:p w:rsidR="003242FE" w:rsidRPr="007544EB" w:rsidRDefault="00DC79AF">
      <w:pPr>
        <w:pStyle w:val="Standard"/>
        <w:ind w:right="-30"/>
        <w:rPr>
          <w:b/>
          <w:bCs/>
        </w:rPr>
      </w:pPr>
      <w:r w:rsidRPr="007544EB">
        <w:rPr>
          <w:b/>
          <w:bCs/>
        </w:rPr>
        <w:t xml:space="preserve">Classification de </w:t>
      </w:r>
      <w:proofErr w:type="spellStart"/>
      <w:r w:rsidRPr="007544EB">
        <w:rPr>
          <w:b/>
          <w:bCs/>
        </w:rPr>
        <w:t>Spetzler</w:t>
      </w:r>
      <w:proofErr w:type="spellEnd"/>
      <w:r w:rsidRPr="007544EB">
        <w:rPr>
          <w:b/>
          <w:bCs/>
        </w:rPr>
        <w:t>-M</w:t>
      </w:r>
      <w:r w:rsidR="003242FE" w:rsidRPr="007544EB">
        <w:rPr>
          <w:b/>
          <w:bCs/>
        </w:rPr>
        <w:t>artin</w:t>
      </w:r>
    </w:p>
    <w:tbl>
      <w:tblPr>
        <w:tblStyle w:val="Grilledutableau"/>
        <w:tblW w:w="0" w:type="auto"/>
        <w:tblLook w:val="04A0"/>
      </w:tblPr>
      <w:tblGrid>
        <w:gridCol w:w="3259"/>
        <w:gridCol w:w="4220"/>
        <w:gridCol w:w="2299"/>
      </w:tblGrid>
      <w:tr w:rsidR="009E326A" w:rsidTr="00DC79AF">
        <w:tc>
          <w:tcPr>
            <w:tcW w:w="7479" w:type="dxa"/>
            <w:gridSpan w:val="2"/>
          </w:tcPr>
          <w:p w:rsidR="009E326A" w:rsidRDefault="00DC79AF" w:rsidP="00DC79AF">
            <w:pPr>
              <w:pStyle w:val="Standard"/>
              <w:ind w:right="-30"/>
              <w:jc w:val="center"/>
              <w:rPr>
                <w:bCs/>
              </w:rPr>
            </w:pPr>
            <w:r>
              <w:rPr>
                <w:bCs/>
              </w:rPr>
              <w:t>Caractéristique</w:t>
            </w:r>
            <w:r w:rsidR="009E326A">
              <w:rPr>
                <w:bCs/>
              </w:rPr>
              <w:t xml:space="preserve"> étudiée</w:t>
            </w:r>
          </w:p>
        </w:tc>
        <w:tc>
          <w:tcPr>
            <w:tcW w:w="2299" w:type="dxa"/>
          </w:tcPr>
          <w:p w:rsidR="009E326A" w:rsidRDefault="009E326A" w:rsidP="00DC79AF">
            <w:pPr>
              <w:pStyle w:val="Standard"/>
              <w:ind w:right="-30"/>
              <w:jc w:val="center"/>
              <w:rPr>
                <w:bCs/>
              </w:rPr>
            </w:pPr>
            <w:r>
              <w:rPr>
                <w:bCs/>
              </w:rPr>
              <w:t>points</w:t>
            </w:r>
          </w:p>
        </w:tc>
      </w:tr>
      <w:tr w:rsidR="009E326A" w:rsidTr="00DC79AF">
        <w:tc>
          <w:tcPr>
            <w:tcW w:w="3259" w:type="dxa"/>
            <w:vMerge w:val="restart"/>
            <w:tcBorders>
              <w:right w:val="single" w:sz="12" w:space="0" w:color="auto"/>
            </w:tcBorders>
          </w:tcPr>
          <w:p w:rsidR="009E326A" w:rsidRDefault="009E326A" w:rsidP="00DC79AF">
            <w:pPr>
              <w:pStyle w:val="Standard"/>
              <w:ind w:right="-30"/>
              <w:jc w:val="center"/>
              <w:rPr>
                <w:bCs/>
              </w:rPr>
            </w:pPr>
          </w:p>
          <w:p w:rsidR="009E326A" w:rsidRDefault="009E326A" w:rsidP="00DC79AF">
            <w:pPr>
              <w:pStyle w:val="Standard"/>
              <w:ind w:right="-30"/>
              <w:jc w:val="center"/>
              <w:rPr>
                <w:bCs/>
              </w:rPr>
            </w:pPr>
            <w:r>
              <w:rPr>
                <w:bCs/>
              </w:rPr>
              <w:t>Taille</w:t>
            </w:r>
          </w:p>
        </w:tc>
        <w:tc>
          <w:tcPr>
            <w:tcW w:w="4220" w:type="dxa"/>
            <w:tcBorders>
              <w:left w:val="single" w:sz="12" w:space="0" w:color="auto"/>
            </w:tcBorders>
          </w:tcPr>
          <w:p w:rsidR="009E326A" w:rsidRDefault="009E326A" w:rsidP="00DC79AF">
            <w:pPr>
              <w:pStyle w:val="Standard"/>
              <w:ind w:right="-30"/>
              <w:jc w:val="center"/>
              <w:rPr>
                <w:bCs/>
              </w:rPr>
            </w:pPr>
            <w:r>
              <w:rPr>
                <w:bCs/>
              </w:rPr>
              <w:t>Petite</w:t>
            </w:r>
          </w:p>
        </w:tc>
        <w:tc>
          <w:tcPr>
            <w:tcW w:w="2299" w:type="dxa"/>
          </w:tcPr>
          <w:p w:rsidR="009E326A" w:rsidRDefault="009E326A" w:rsidP="00DC79AF">
            <w:pPr>
              <w:pStyle w:val="Standard"/>
              <w:ind w:right="-30"/>
              <w:jc w:val="center"/>
              <w:rPr>
                <w:bCs/>
              </w:rPr>
            </w:pPr>
            <w:r>
              <w:rPr>
                <w:bCs/>
              </w:rPr>
              <w:t>1</w:t>
            </w:r>
          </w:p>
        </w:tc>
      </w:tr>
      <w:tr w:rsidR="009E326A" w:rsidTr="00DC79AF">
        <w:tc>
          <w:tcPr>
            <w:tcW w:w="3259" w:type="dxa"/>
            <w:vMerge/>
            <w:tcBorders>
              <w:right w:val="single" w:sz="12" w:space="0" w:color="auto"/>
            </w:tcBorders>
          </w:tcPr>
          <w:p w:rsidR="009E326A" w:rsidRDefault="009E326A" w:rsidP="00DC79AF">
            <w:pPr>
              <w:pStyle w:val="Standard"/>
              <w:ind w:right="-30"/>
              <w:jc w:val="center"/>
              <w:rPr>
                <w:bCs/>
              </w:rPr>
            </w:pPr>
          </w:p>
        </w:tc>
        <w:tc>
          <w:tcPr>
            <w:tcW w:w="4220" w:type="dxa"/>
            <w:tcBorders>
              <w:left w:val="single" w:sz="12" w:space="0" w:color="auto"/>
            </w:tcBorders>
          </w:tcPr>
          <w:p w:rsidR="009E326A" w:rsidRDefault="009E326A" w:rsidP="00DC79AF">
            <w:pPr>
              <w:pStyle w:val="Standard"/>
              <w:ind w:right="-30"/>
              <w:jc w:val="center"/>
              <w:rPr>
                <w:bCs/>
              </w:rPr>
            </w:pPr>
            <w:r>
              <w:rPr>
                <w:bCs/>
              </w:rPr>
              <w:t>Moyenne</w:t>
            </w:r>
          </w:p>
        </w:tc>
        <w:tc>
          <w:tcPr>
            <w:tcW w:w="2299" w:type="dxa"/>
          </w:tcPr>
          <w:p w:rsidR="009E326A" w:rsidRDefault="009E326A" w:rsidP="00DC79AF">
            <w:pPr>
              <w:pStyle w:val="Standard"/>
              <w:ind w:right="-30"/>
              <w:jc w:val="center"/>
              <w:rPr>
                <w:bCs/>
              </w:rPr>
            </w:pPr>
            <w:r>
              <w:rPr>
                <w:bCs/>
              </w:rPr>
              <w:t>2</w:t>
            </w:r>
          </w:p>
        </w:tc>
      </w:tr>
      <w:tr w:rsidR="009E326A" w:rsidTr="00DC79AF">
        <w:tc>
          <w:tcPr>
            <w:tcW w:w="3259" w:type="dxa"/>
            <w:vMerge/>
            <w:tcBorders>
              <w:bottom w:val="single" w:sz="12" w:space="0" w:color="auto"/>
              <w:right w:val="single" w:sz="12" w:space="0" w:color="auto"/>
            </w:tcBorders>
          </w:tcPr>
          <w:p w:rsidR="009E326A" w:rsidRDefault="009E326A" w:rsidP="00DC79AF">
            <w:pPr>
              <w:pStyle w:val="Standard"/>
              <w:ind w:right="-30"/>
              <w:jc w:val="center"/>
              <w:rPr>
                <w:bCs/>
              </w:rPr>
            </w:pPr>
          </w:p>
        </w:tc>
        <w:tc>
          <w:tcPr>
            <w:tcW w:w="4220" w:type="dxa"/>
            <w:tcBorders>
              <w:left w:val="single" w:sz="12" w:space="0" w:color="auto"/>
              <w:bottom w:val="single" w:sz="12" w:space="0" w:color="auto"/>
            </w:tcBorders>
          </w:tcPr>
          <w:p w:rsidR="009E326A" w:rsidRDefault="009E326A" w:rsidP="00DC79AF">
            <w:pPr>
              <w:pStyle w:val="Standard"/>
              <w:ind w:right="-30"/>
              <w:jc w:val="center"/>
              <w:rPr>
                <w:bCs/>
              </w:rPr>
            </w:pPr>
            <w:r>
              <w:rPr>
                <w:bCs/>
              </w:rPr>
              <w:t>Grande</w:t>
            </w:r>
          </w:p>
        </w:tc>
        <w:tc>
          <w:tcPr>
            <w:tcW w:w="2299" w:type="dxa"/>
          </w:tcPr>
          <w:p w:rsidR="009E326A" w:rsidRDefault="009E326A" w:rsidP="00DC79AF">
            <w:pPr>
              <w:pStyle w:val="Standard"/>
              <w:ind w:right="-30"/>
              <w:jc w:val="center"/>
              <w:rPr>
                <w:bCs/>
              </w:rPr>
            </w:pPr>
            <w:r>
              <w:rPr>
                <w:bCs/>
              </w:rPr>
              <w:t>3</w:t>
            </w:r>
          </w:p>
        </w:tc>
      </w:tr>
      <w:tr w:rsidR="009E326A" w:rsidTr="00DC79AF">
        <w:tc>
          <w:tcPr>
            <w:tcW w:w="3259" w:type="dxa"/>
            <w:vMerge w:val="restart"/>
            <w:tcBorders>
              <w:top w:val="single" w:sz="12" w:space="0" w:color="auto"/>
              <w:right w:val="single" w:sz="12" w:space="0" w:color="auto"/>
            </w:tcBorders>
          </w:tcPr>
          <w:p w:rsidR="009E326A" w:rsidRDefault="009E326A" w:rsidP="00DC79AF">
            <w:pPr>
              <w:pStyle w:val="Standard"/>
              <w:ind w:right="-30"/>
              <w:jc w:val="center"/>
              <w:rPr>
                <w:bCs/>
              </w:rPr>
            </w:pPr>
            <w:r>
              <w:rPr>
                <w:bCs/>
              </w:rPr>
              <w:t>Territoire adjacent</w:t>
            </w:r>
          </w:p>
        </w:tc>
        <w:tc>
          <w:tcPr>
            <w:tcW w:w="4220" w:type="dxa"/>
            <w:tcBorders>
              <w:top w:val="single" w:sz="12" w:space="0" w:color="auto"/>
              <w:left w:val="single" w:sz="12" w:space="0" w:color="auto"/>
            </w:tcBorders>
          </w:tcPr>
          <w:p w:rsidR="009E326A" w:rsidRDefault="009E326A" w:rsidP="00DC79AF">
            <w:pPr>
              <w:pStyle w:val="Standard"/>
              <w:ind w:right="-30"/>
              <w:jc w:val="center"/>
              <w:rPr>
                <w:bCs/>
              </w:rPr>
            </w:pPr>
            <w:r>
              <w:rPr>
                <w:bCs/>
              </w:rPr>
              <w:t>Non éloquent</w:t>
            </w:r>
          </w:p>
        </w:tc>
        <w:tc>
          <w:tcPr>
            <w:tcW w:w="2299" w:type="dxa"/>
          </w:tcPr>
          <w:p w:rsidR="009E326A" w:rsidRDefault="009E326A" w:rsidP="00DC79AF">
            <w:pPr>
              <w:pStyle w:val="Standard"/>
              <w:ind w:right="-30"/>
              <w:jc w:val="center"/>
              <w:rPr>
                <w:bCs/>
              </w:rPr>
            </w:pPr>
            <w:r>
              <w:rPr>
                <w:bCs/>
              </w:rPr>
              <w:t>0</w:t>
            </w:r>
          </w:p>
        </w:tc>
      </w:tr>
      <w:tr w:rsidR="009E326A" w:rsidTr="00DC79AF">
        <w:tc>
          <w:tcPr>
            <w:tcW w:w="3259" w:type="dxa"/>
            <w:vMerge/>
            <w:tcBorders>
              <w:right w:val="single" w:sz="12" w:space="0" w:color="auto"/>
            </w:tcBorders>
          </w:tcPr>
          <w:p w:rsidR="009E326A" w:rsidRDefault="009E326A" w:rsidP="00DC79AF">
            <w:pPr>
              <w:pStyle w:val="Standard"/>
              <w:ind w:right="-30"/>
              <w:jc w:val="center"/>
              <w:rPr>
                <w:bCs/>
              </w:rPr>
            </w:pPr>
          </w:p>
        </w:tc>
        <w:tc>
          <w:tcPr>
            <w:tcW w:w="4220" w:type="dxa"/>
            <w:tcBorders>
              <w:left w:val="single" w:sz="12" w:space="0" w:color="auto"/>
            </w:tcBorders>
          </w:tcPr>
          <w:p w:rsidR="009E326A" w:rsidRDefault="009E326A" w:rsidP="00DC79AF">
            <w:pPr>
              <w:pStyle w:val="Standard"/>
              <w:ind w:right="-30"/>
              <w:jc w:val="center"/>
              <w:rPr>
                <w:bCs/>
              </w:rPr>
            </w:pPr>
            <w:r>
              <w:rPr>
                <w:bCs/>
              </w:rPr>
              <w:t>Eloquent</w:t>
            </w:r>
          </w:p>
        </w:tc>
        <w:tc>
          <w:tcPr>
            <w:tcW w:w="2299" w:type="dxa"/>
          </w:tcPr>
          <w:p w:rsidR="009E326A" w:rsidRDefault="009E326A" w:rsidP="00DC79AF">
            <w:pPr>
              <w:pStyle w:val="Standard"/>
              <w:ind w:right="-30"/>
              <w:jc w:val="center"/>
              <w:rPr>
                <w:bCs/>
              </w:rPr>
            </w:pPr>
            <w:r>
              <w:rPr>
                <w:bCs/>
              </w:rPr>
              <w:t>1</w:t>
            </w:r>
          </w:p>
        </w:tc>
      </w:tr>
      <w:tr w:rsidR="009E326A" w:rsidTr="00DC79AF">
        <w:tc>
          <w:tcPr>
            <w:tcW w:w="3259" w:type="dxa"/>
            <w:vMerge w:val="restart"/>
          </w:tcPr>
          <w:p w:rsidR="009E326A" w:rsidRDefault="009E326A" w:rsidP="00DC79AF">
            <w:pPr>
              <w:pStyle w:val="Standard"/>
              <w:ind w:right="-30"/>
              <w:jc w:val="center"/>
              <w:rPr>
                <w:bCs/>
              </w:rPr>
            </w:pPr>
            <w:r>
              <w:rPr>
                <w:bCs/>
              </w:rPr>
              <w:t>Drainage veineux</w:t>
            </w:r>
          </w:p>
        </w:tc>
        <w:tc>
          <w:tcPr>
            <w:tcW w:w="4220" w:type="dxa"/>
          </w:tcPr>
          <w:p w:rsidR="009E326A" w:rsidRDefault="009E326A" w:rsidP="00DC79AF">
            <w:pPr>
              <w:pStyle w:val="Standard"/>
              <w:ind w:right="-30"/>
              <w:jc w:val="center"/>
              <w:rPr>
                <w:bCs/>
              </w:rPr>
            </w:pPr>
            <w:r>
              <w:rPr>
                <w:bCs/>
              </w:rPr>
              <w:t>Superficiel seulement</w:t>
            </w:r>
          </w:p>
        </w:tc>
        <w:tc>
          <w:tcPr>
            <w:tcW w:w="2299" w:type="dxa"/>
          </w:tcPr>
          <w:p w:rsidR="009E326A" w:rsidRDefault="009E326A" w:rsidP="00DC79AF">
            <w:pPr>
              <w:pStyle w:val="Standard"/>
              <w:ind w:right="-30"/>
              <w:jc w:val="center"/>
              <w:rPr>
                <w:bCs/>
              </w:rPr>
            </w:pPr>
            <w:r>
              <w:rPr>
                <w:bCs/>
              </w:rPr>
              <w:t>0</w:t>
            </w:r>
          </w:p>
        </w:tc>
      </w:tr>
      <w:tr w:rsidR="009E326A" w:rsidTr="00DC79AF">
        <w:tc>
          <w:tcPr>
            <w:tcW w:w="3259" w:type="dxa"/>
            <w:vMerge/>
          </w:tcPr>
          <w:p w:rsidR="009E326A" w:rsidRDefault="009E326A" w:rsidP="00DC79AF">
            <w:pPr>
              <w:pStyle w:val="Standard"/>
              <w:ind w:right="-30"/>
              <w:jc w:val="center"/>
              <w:rPr>
                <w:bCs/>
              </w:rPr>
            </w:pPr>
          </w:p>
        </w:tc>
        <w:tc>
          <w:tcPr>
            <w:tcW w:w="4220" w:type="dxa"/>
          </w:tcPr>
          <w:p w:rsidR="009E326A" w:rsidRDefault="009E326A" w:rsidP="00DC79AF">
            <w:pPr>
              <w:pStyle w:val="Standard"/>
              <w:ind w:right="-30"/>
              <w:jc w:val="center"/>
              <w:rPr>
                <w:bCs/>
              </w:rPr>
            </w:pPr>
            <w:r>
              <w:rPr>
                <w:bCs/>
              </w:rPr>
              <w:t>Profond</w:t>
            </w:r>
          </w:p>
        </w:tc>
        <w:tc>
          <w:tcPr>
            <w:tcW w:w="2299" w:type="dxa"/>
          </w:tcPr>
          <w:p w:rsidR="009E326A" w:rsidRDefault="009E326A" w:rsidP="00DC79AF">
            <w:pPr>
              <w:pStyle w:val="Standard"/>
              <w:ind w:right="-30"/>
              <w:jc w:val="center"/>
              <w:rPr>
                <w:bCs/>
              </w:rPr>
            </w:pPr>
            <w:r>
              <w:rPr>
                <w:bCs/>
              </w:rPr>
              <w:t>1</w:t>
            </w:r>
          </w:p>
        </w:tc>
      </w:tr>
    </w:tbl>
    <w:p w:rsidR="009E326A" w:rsidRDefault="00DC79AF">
      <w:pPr>
        <w:pStyle w:val="Standard"/>
        <w:ind w:right="-30"/>
        <w:rPr>
          <w:bCs/>
        </w:rPr>
      </w:pPr>
      <w:r>
        <w:rPr>
          <w:bCs/>
        </w:rPr>
        <w:t>Traitement sans déficit : 100% au grade 1, 69% au grade 5</w:t>
      </w:r>
    </w:p>
    <w:p w:rsidR="003242FE" w:rsidRDefault="003242FE">
      <w:pPr>
        <w:pStyle w:val="Standard"/>
        <w:ind w:right="-30"/>
        <w:rPr>
          <w:bCs/>
        </w:rPr>
      </w:pPr>
    </w:p>
    <w:p w:rsidR="003242FE" w:rsidRDefault="003242FE">
      <w:pPr>
        <w:pStyle w:val="Standard"/>
        <w:ind w:right="-30"/>
        <w:rPr>
          <w:bCs/>
        </w:rPr>
      </w:pPr>
      <w:r>
        <w:rPr>
          <w:bCs/>
        </w:rPr>
        <w:t xml:space="preserve">Un </w:t>
      </w:r>
      <w:r w:rsidR="004F7DD1">
        <w:rPr>
          <w:bCs/>
        </w:rPr>
        <w:t>territoire</w:t>
      </w:r>
      <w:r>
        <w:rPr>
          <w:bCs/>
        </w:rPr>
        <w:t xml:space="preserve"> adjacent non éloquent est une zone cérébrale ou il n’y a pas de localisation fonctionnelle précise (partie du cerveau qui ne sert à rien)</w:t>
      </w:r>
      <w:r w:rsidR="004F7DD1">
        <w:rPr>
          <w:bCs/>
        </w:rPr>
        <w:t xml:space="preserve">. Ceci est </w:t>
      </w:r>
      <w:r w:rsidR="00DC79AF">
        <w:rPr>
          <w:bCs/>
        </w:rPr>
        <w:t>nécessaire</w:t>
      </w:r>
      <w:r w:rsidR="007544EB">
        <w:rPr>
          <w:bCs/>
        </w:rPr>
        <w:t xml:space="preserve"> car quand on opère une MAV,</w:t>
      </w:r>
      <w:r w:rsidR="00DC79AF">
        <w:rPr>
          <w:bCs/>
        </w:rPr>
        <w:t xml:space="preserve"> </w:t>
      </w:r>
      <w:r w:rsidR="004F7DD1">
        <w:rPr>
          <w:bCs/>
        </w:rPr>
        <w:t>on enlève un bout de cerveau autour de la MAV.</w:t>
      </w:r>
    </w:p>
    <w:p w:rsidR="00DC79AF" w:rsidRDefault="00DC79AF">
      <w:pPr>
        <w:pStyle w:val="Standard"/>
        <w:ind w:right="-30"/>
        <w:rPr>
          <w:bCs/>
        </w:rPr>
      </w:pPr>
    </w:p>
    <w:p w:rsidR="00DC79AF" w:rsidRDefault="00DC79AF">
      <w:pPr>
        <w:pStyle w:val="Standard"/>
        <w:ind w:right="-30"/>
        <w:rPr>
          <w:bCs/>
        </w:rPr>
      </w:pPr>
      <w:r>
        <w:rPr>
          <w:bCs/>
        </w:rPr>
        <w:t>Face à une MAV on peut donc soit :</w:t>
      </w:r>
    </w:p>
    <w:p w:rsidR="004F7DD1" w:rsidRDefault="00F013DD">
      <w:pPr>
        <w:pStyle w:val="Standard"/>
        <w:ind w:right="-30"/>
        <w:rPr>
          <w:bCs/>
        </w:rPr>
      </w:pPr>
      <w:r>
        <w:rPr>
          <w:bCs/>
        </w:rPr>
        <w:t xml:space="preserve">Faire travailler les chirurgiens en faisant une </w:t>
      </w:r>
      <w:proofErr w:type="spellStart"/>
      <w:r w:rsidRPr="007544EB">
        <w:rPr>
          <w:b/>
          <w:bCs/>
        </w:rPr>
        <w:t>exerèse</w:t>
      </w:r>
      <w:proofErr w:type="spellEnd"/>
      <w:r w:rsidRPr="007544EB">
        <w:rPr>
          <w:b/>
          <w:bCs/>
        </w:rPr>
        <w:t xml:space="preserve"> de la MAV</w:t>
      </w:r>
      <w:r>
        <w:rPr>
          <w:bCs/>
        </w:rPr>
        <w:t xml:space="preserve">, mais on a alors un risque </w:t>
      </w:r>
      <w:r>
        <w:rPr>
          <w:bCs/>
        </w:rPr>
        <w:lastRenderedPageBreak/>
        <w:t>d’œdème cérébral pour les MAV de g</w:t>
      </w:r>
      <w:r w:rsidR="00C20AA3">
        <w:rPr>
          <w:bCs/>
        </w:rPr>
        <w:t>rande taille, sans compter le risque de lésions collatérales dues au geste.</w:t>
      </w:r>
    </w:p>
    <w:p w:rsidR="004F7DD1" w:rsidRDefault="004F7DD1">
      <w:pPr>
        <w:pStyle w:val="Standard"/>
        <w:ind w:right="-30"/>
        <w:rPr>
          <w:bCs/>
        </w:rPr>
      </w:pPr>
      <w:r>
        <w:rPr>
          <w:bCs/>
        </w:rPr>
        <w:t xml:space="preserve">On peut aussi faire une </w:t>
      </w:r>
      <w:r w:rsidRPr="007544EB">
        <w:rPr>
          <w:b/>
          <w:bCs/>
        </w:rPr>
        <w:t>radiothérapie</w:t>
      </w:r>
      <w:r>
        <w:rPr>
          <w:bCs/>
        </w:rPr>
        <w:t> : on irradie la MAV localisée par stéréotaxie (cadre permettant de calculer précisément l’emplacement de la lésion) en 1 fois avec de multiples sources.</w:t>
      </w:r>
    </w:p>
    <w:p w:rsidR="004F7DD1" w:rsidRDefault="00F013DD">
      <w:pPr>
        <w:pStyle w:val="Standard"/>
        <w:ind w:right="-30"/>
      </w:pPr>
      <w:r>
        <w:rPr>
          <w:bCs/>
        </w:rPr>
        <w:t xml:space="preserve">Ou </w:t>
      </w:r>
      <w:proofErr w:type="spellStart"/>
      <w:r w:rsidRPr="007544EB">
        <w:rPr>
          <w:b/>
          <w:bCs/>
        </w:rPr>
        <w:t>emboliser</w:t>
      </w:r>
      <w:proofErr w:type="spellEnd"/>
      <w:r w:rsidRPr="007544EB">
        <w:rPr>
          <w:b/>
          <w:bCs/>
        </w:rPr>
        <w:t xml:space="preserve"> la MAV</w:t>
      </w:r>
      <w:r>
        <w:rPr>
          <w:bCs/>
        </w:rPr>
        <w:t> :</w:t>
      </w:r>
      <w:r w:rsidR="009C077C">
        <w:rPr>
          <w:bCs/>
        </w:rPr>
        <w:t xml:space="preserve"> </w:t>
      </w:r>
      <w:r w:rsidR="009C077C">
        <w:t xml:space="preserve">par voie </w:t>
      </w:r>
      <w:proofErr w:type="spellStart"/>
      <w:r w:rsidR="009C077C">
        <w:t>endovasculaire</w:t>
      </w:r>
      <w:proofErr w:type="spellEnd"/>
      <w:r w:rsidR="009C077C">
        <w:t xml:space="preserve"> on bouche les vaisseaux anormaux en y injectant une colle acrylique.</w:t>
      </w:r>
    </w:p>
    <w:p w:rsidR="009C077C" w:rsidRDefault="00C20AA3">
      <w:pPr>
        <w:pStyle w:val="Standard"/>
        <w:ind w:right="-30"/>
        <w:rPr>
          <w:bCs/>
          <w:i/>
        </w:rPr>
      </w:pPr>
      <w:r w:rsidRPr="00C20AA3">
        <w:rPr>
          <w:bCs/>
          <w:i/>
        </w:rPr>
        <w:t>(</w:t>
      </w:r>
      <w:proofErr w:type="gramStart"/>
      <w:r w:rsidRPr="00C20AA3">
        <w:rPr>
          <w:bCs/>
          <w:i/>
        </w:rPr>
        <w:t>ces</w:t>
      </w:r>
      <w:proofErr w:type="gramEnd"/>
      <w:r w:rsidRPr="00C20AA3">
        <w:rPr>
          <w:bCs/>
          <w:i/>
        </w:rPr>
        <w:t xml:space="preserve"> 3 options thérapeutiques sont à savoir)</w:t>
      </w:r>
    </w:p>
    <w:p w:rsidR="00C20AA3" w:rsidRPr="00C20AA3" w:rsidRDefault="00C20AA3">
      <w:pPr>
        <w:pStyle w:val="Standard"/>
        <w:ind w:right="-30"/>
        <w:rPr>
          <w:bCs/>
          <w:i/>
        </w:rPr>
      </w:pPr>
    </w:p>
    <w:p w:rsidR="004F7DD1" w:rsidRDefault="004F7DD1">
      <w:pPr>
        <w:pStyle w:val="Standard"/>
        <w:ind w:right="-30"/>
        <w:rPr>
          <w:bCs/>
        </w:rPr>
      </w:pPr>
      <w:r w:rsidRPr="00C20AA3">
        <w:rPr>
          <w:b/>
          <w:bCs/>
        </w:rPr>
        <w:t>Synthèse </w:t>
      </w:r>
      <w:r>
        <w:rPr>
          <w:bCs/>
        </w:rPr>
        <w:t xml:space="preserve">: </w:t>
      </w:r>
      <w:r w:rsidR="00C20AA3">
        <w:rPr>
          <w:bCs/>
        </w:rPr>
        <w:t>Les hématomes intra-parenchymateux spontanés provoquent le plus souvent des</w:t>
      </w:r>
      <w:r>
        <w:rPr>
          <w:bCs/>
        </w:rPr>
        <w:t xml:space="preserve"> déficit</w:t>
      </w:r>
      <w:r w:rsidR="00C20AA3">
        <w:rPr>
          <w:bCs/>
        </w:rPr>
        <w:t>s</w:t>
      </w:r>
      <w:r>
        <w:rPr>
          <w:bCs/>
        </w:rPr>
        <w:t xml:space="preserve"> neurologique</w:t>
      </w:r>
      <w:r w:rsidR="00C20AA3">
        <w:rPr>
          <w:bCs/>
        </w:rPr>
        <w:t>s.</w:t>
      </w:r>
    </w:p>
    <w:p w:rsidR="004F7DD1" w:rsidRDefault="004F7DD1">
      <w:pPr>
        <w:pStyle w:val="Standard"/>
        <w:ind w:right="-30"/>
        <w:rPr>
          <w:bCs/>
        </w:rPr>
      </w:pPr>
      <w:r>
        <w:rPr>
          <w:bCs/>
        </w:rPr>
        <w:t xml:space="preserve">Chez les 40-60 ans ces hématomes sont </w:t>
      </w:r>
      <w:r w:rsidR="00C20AA3">
        <w:rPr>
          <w:bCs/>
        </w:rPr>
        <w:t xml:space="preserve">généralement </w:t>
      </w:r>
      <w:proofErr w:type="spellStart"/>
      <w:r>
        <w:rPr>
          <w:bCs/>
        </w:rPr>
        <w:t>dûs</w:t>
      </w:r>
      <w:proofErr w:type="spellEnd"/>
      <w:r>
        <w:rPr>
          <w:bCs/>
        </w:rPr>
        <w:t xml:space="preserve"> à l’HTA, chez les jeun</w:t>
      </w:r>
      <w:r w:rsidR="00C20AA3">
        <w:rPr>
          <w:bCs/>
        </w:rPr>
        <w:t>es non hypertendus, ils sont plutôt provoqués par des</w:t>
      </w:r>
      <w:r>
        <w:rPr>
          <w:bCs/>
        </w:rPr>
        <w:t xml:space="preserve"> MAV. L’indication</w:t>
      </w:r>
      <w:r w:rsidR="00C20AA3">
        <w:rPr>
          <w:bCs/>
        </w:rPr>
        <w:t xml:space="preserve"> chirurgicale reste</w:t>
      </w:r>
      <w:r>
        <w:rPr>
          <w:bCs/>
        </w:rPr>
        <w:t xml:space="preserve"> rare.</w:t>
      </w:r>
    </w:p>
    <w:p w:rsidR="003242FE" w:rsidRDefault="003242FE">
      <w:pPr>
        <w:pStyle w:val="Standard"/>
        <w:ind w:right="-30"/>
        <w:rPr>
          <w:bCs/>
        </w:rPr>
      </w:pPr>
    </w:p>
    <w:p w:rsidR="0024395C" w:rsidRDefault="0024395C">
      <w:pPr>
        <w:pStyle w:val="Standard"/>
        <w:ind w:right="-30"/>
        <w:rPr>
          <w:bCs/>
        </w:rPr>
      </w:pPr>
    </w:p>
    <w:p w:rsidR="0024395C" w:rsidRDefault="0024395C">
      <w:pPr>
        <w:pStyle w:val="Standard"/>
        <w:ind w:right="-30"/>
        <w:rPr>
          <w:bCs/>
        </w:rPr>
      </w:pPr>
    </w:p>
    <w:p w:rsidR="0024395C" w:rsidRDefault="0024395C">
      <w:pPr>
        <w:pStyle w:val="Standard"/>
        <w:ind w:right="-30"/>
        <w:rPr>
          <w:bCs/>
        </w:rPr>
      </w:pPr>
    </w:p>
    <w:p w:rsidR="0024395C" w:rsidRDefault="0024395C">
      <w:pPr>
        <w:pStyle w:val="Standard"/>
        <w:ind w:right="-30"/>
        <w:rPr>
          <w:b/>
          <w:bCs/>
        </w:rPr>
      </w:pPr>
    </w:p>
    <w:p w:rsidR="0024395C" w:rsidRDefault="0024395C">
      <w:pPr>
        <w:pStyle w:val="Standard"/>
        <w:rPr>
          <w:b/>
          <w:bCs/>
          <w:i/>
          <w:iCs/>
        </w:rPr>
      </w:pPr>
    </w:p>
    <w:p w:rsidR="0024395C" w:rsidRDefault="0024395C">
      <w:pPr>
        <w:pStyle w:val="Standard"/>
        <w:rPr>
          <w:b/>
          <w:bCs/>
          <w:i/>
          <w:iCs/>
        </w:rPr>
      </w:pPr>
    </w:p>
    <w:p w:rsidR="0024395C" w:rsidRDefault="0024395C">
      <w:pPr>
        <w:pStyle w:val="Standard"/>
        <w:rPr>
          <w:b/>
          <w:bCs/>
          <w:i/>
          <w:iCs/>
        </w:rPr>
      </w:pPr>
    </w:p>
    <w:p w:rsidR="0024395C" w:rsidRDefault="0024395C">
      <w:pPr>
        <w:pStyle w:val="Standard"/>
        <w:rPr>
          <w:b/>
          <w:bCs/>
          <w:i/>
          <w:iCs/>
        </w:rPr>
      </w:pPr>
    </w:p>
    <w:p w:rsidR="0024395C" w:rsidRDefault="0024395C">
      <w:pPr>
        <w:pStyle w:val="Standard"/>
        <w:rPr>
          <w:b/>
          <w:bCs/>
          <w:i/>
          <w:iCs/>
        </w:rPr>
      </w:pPr>
    </w:p>
    <w:sectPr w:rsidR="0024395C" w:rsidSect="0024395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DD" w:rsidRDefault="00C839DD" w:rsidP="0024395C">
      <w:r>
        <w:separator/>
      </w:r>
    </w:p>
  </w:endnote>
  <w:endnote w:type="continuationSeparator" w:id="0">
    <w:p w:rsidR="00C839DD" w:rsidRDefault="00C839DD" w:rsidP="0024395C">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DD" w:rsidRDefault="00C839DD" w:rsidP="0024395C">
      <w:r w:rsidRPr="0024395C">
        <w:rPr>
          <w:color w:val="000000"/>
        </w:rPr>
        <w:separator/>
      </w:r>
    </w:p>
  </w:footnote>
  <w:footnote w:type="continuationSeparator" w:id="0">
    <w:p w:rsidR="00C839DD" w:rsidRDefault="00C839DD" w:rsidP="00243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6EAD"/>
    <w:multiLevelType w:val="multilevel"/>
    <w:tmpl w:val="8432E6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4007DF8"/>
    <w:multiLevelType w:val="multilevel"/>
    <w:tmpl w:val="E77C3A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96F7319"/>
    <w:multiLevelType w:val="multilevel"/>
    <w:tmpl w:val="946671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F9F5AFA"/>
    <w:multiLevelType w:val="multilevel"/>
    <w:tmpl w:val="05DC37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046049F"/>
    <w:multiLevelType w:val="multilevel"/>
    <w:tmpl w:val="042EBB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2962A7F"/>
    <w:multiLevelType w:val="multilevel"/>
    <w:tmpl w:val="FFEEF0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8036A8C"/>
    <w:multiLevelType w:val="multilevel"/>
    <w:tmpl w:val="8D7E84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488D0FCC"/>
    <w:multiLevelType w:val="multilevel"/>
    <w:tmpl w:val="640EF1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EE07C39"/>
    <w:multiLevelType w:val="multilevel"/>
    <w:tmpl w:val="BC022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B05707F"/>
    <w:multiLevelType w:val="multilevel"/>
    <w:tmpl w:val="0152E8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7"/>
  </w:num>
  <w:num w:numId="3">
    <w:abstractNumId w:val="1"/>
  </w:num>
  <w:num w:numId="4">
    <w:abstractNumId w:val="6"/>
  </w:num>
  <w:num w:numId="5">
    <w:abstractNumId w:val="9"/>
  </w:num>
  <w:num w:numId="6">
    <w:abstractNumId w:val="3"/>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rsids>
    <w:rsidRoot w:val="0024395C"/>
    <w:rsid w:val="000D7B18"/>
    <w:rsid w:val="00164439"/>
    <w:rsid w:val="0024395C"/>
    <w:rsid w:val="003242FE"/>
    <w:rsid w:val="00490DBB"/>
    <w:rsid w:val="004A64A3"/>
    <w:rsid w:val="004F7DD1"/>
    <w:rsid w:val="00686CF9"/>
    <w:rsid w:val="007544EB"/>
    <w:rsid w:val="007E0A8A"/>
    <w:rsid w:val="008C58A4"/>
    <w:rsid w:val="0093296E"/>
    <w:rsid w:val="009C077C"/>
    <w:rsid w:val="009E326A"/>
    <w:rsid w:val="00C20AA3"/>
    <w:rsid w:val="00C839DD"/>
    <w:rsid w:val="00DC79AF"/>
    <w:rsid w:val="00F013DD"/>
    <w:rsid w:val="00F95A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95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4395C"/>
    <w:pPr>
      <w:suppressAutoHyphens/>
    </w:pPr>
  </w:style>
  <w:style w:type="paragraph" w:customStyle="1" w:styleId="Heading">
    <w:name w:val="Heading"/>
    <w:basedOn w:val="Standard"/>
    <w:next w:val="Textbody"/>
    <w:rsid w:val="0024395C"/>
    <w:pPr>
      <w:keepNext/>
      <w:spacing w:before="240" w:after="120"/>
    </w:pPr>
    <w:rPr>
      <w:rFonts w:ascii="Liberation Sans" w:hAnsi="Liberation Sans"/>
      <w:sz w:val="28"/>
      <w:szCs w:val="28"/>
    </w:rPr>
  </w:style>
  <w:style w:type="paragraph" w:customStyle="1" w:styleId="Textbody">
    <w:name w:val="Text body"/>
    <w:basedOn w:val="Standard"/>
    <w:rsid w:val="0024395C"/>
    <w:pPr>
      <w:spacing w:after="120"/>
    </w:pPr>
  </w:style>
  <w:style w:type="paragraph" w:styleId="Liste">
    <w:name w:val="List"/>
    <w:basedOn w:val="Textbody"/>
    <w:rsid w:val="0024395C"/>
  </w:style>
  <w:style w:type="paragraph" w:customStyle="1" w:styleId="Caption">
    <w:name w:val="Caption"/>
    <w:basedOn w:val="Standard"/>
    <w:rsid w:val="0024395C"/>
    <w:pPr>
      <w:suppressLineNumbers/>
      <w:spacing w:before="120" w:after="120"/>
    </w:pPr>
    <w:rPr>
      <w:i/>
      <w:iCs/>
    </w:rPr>
  </w:style>
  <w:style w:type="paragraph" w:customStyle="1" w:styleId="Index">
    <w:name w:val="Index"/>
    <w:basedOn w:val="Standard"/>
    <w:rsid w:val="0024395C"/>
    <w:pPr>
      <w:suppressLineNumbers/>
    </w:pPr>
  </w:style>
  <w:style w:type="paragraph" w:customStyle="1" w:styleId="TableContents">
    <w:name w:val="Table Contents"/>
    <w:basedOn w:val="Standard"/>
    <w:rsid w:val="0024395C"/>
    <w:pPr>
      <w:suppressLineNumbers/>
    </w:pPr>
  </w:style>
  <w:style w:type="paragraph" w:customStyle="1" w:styleId="HorizontalLine">
    <w:name w:val="Horizontal Line"/>
    <w:basedOn w:val="Standard"/>
    <w:next w:val="Textbody"/>
    <w:rsid w:val="0024395C"/>
    <w:pPr>
      <w:suppressLineNumbers/>
      <w:pBdr>
        <w:bottom w:val="double" w:sz="2" w:space="0" w:color="808080"/>
      </w:pBdr>
      <w:spacing w:after="283"/>
    </w:pPr>
    <w:rPr>
      <w:sz w:val="12"/>
      <w:szCs w:val="12"/>
    </w:rPr>
  </w:style>
  <w:style w:type="paragraph" w:customStyle="1" w:styleId="TableHeading">
    <w:name w:val="Table Heading"/>
    <w:basedOn w:val="TableContents"/>
    <w:rsid w:val="0024395C"/>
    <w:pPr>
      <w:jc w:val="center"/>
    </w:pPr>
    <w:rPr>
      <w:b/>
      <w:bCs/>
    </w:rPr>
  </w:style>
  <w:style w:type="character" w:customStyle="1" w:styleId="NumberingSymbols">
    <w:name w:val="Numbering Symbols"/>
    <w:rsid w:val="0024395C"/>
  </w:style>
  <w:style w:type="character" w:customStyle="1" w:styleId="BulletSymbols">
    <w:name w:val="Bullet Symbols"/>
    <w:rsid w:val="0024395C"/>
    <w:rPr>
      <w:rFonts w:ascii="OpenSymbol" w:eastAsia="OpenSymbol" w:hAnsi="OpenSymbol" w:cs="OpenSymbol"/>
    </w:rPr>
  </w:style>
  <w:style w:type="paragraph" w:styleId="Textedebulles">
    <w:name w:val="Balloon Text"/>
    <w:basedOn w:val="Normal"/>
    <w:rsid w:val="0024395C"/>
    <w:rPr>
      <w:rFonts w:ascii="Tahoma" w:hAnsi="Tahoma" w:cs="Mangal"/>
      <w:sz w:val="16"/>
      <w:szCs w:val="14"/>
    </w:rPr>
  </w:style>
  <w:style w:type="character" w:customStyle="1" w:styleId="TextedebullesCar">
    <w:name w:val="Texte de bulles Car"/>
    <w:basedOn w:val="Policepardfaut"/>
    <w:rsid w:val="0024395C"/>
    <w:rPr>
      <w:rFonts w:ascii="Tahoma" w:hAnsi="Tahoma" w:cs="Mangal"/>
      <w:sz w:val="16"/>
      <w:szCs w:val="14"/>
    </w:rPr>
  </w:style>
  <w:style w:type="table" w:styleId="Grilledutableau">
    <w:name w:val="Table Grid"/>
    <w:basedOn w:val="TableauNormal"/>
    <w:uiPriority w:val="59"/>
    <w:rsid w:val="009E3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9C077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2274</Words>
  <Characters>12507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2</cp:revision>
  <dcterms:created xsi:type="dcterms:W3CDTF">2014-01-16T15:56:00Z</dcterms:created>
  <dcterms:modified xsi:type="dcterms:W3CDTF">2014-01-16T15:56:00Z</dcterms:modified>
</cp:coreProperties>
</file>