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3B" w:rsidRDefault="00FE4896">
      <w:pPr>
        <w:rPr>
          <w:sz w:val="24"/>
          <w:szCs w:val="24"/>
        </w:rPr>
      </w:pPr>
      <w:r>
        <w:tab/>
      </w:r>
      <w:r>
        <w:tab/>
        <w:t xml:space="preserve">  </w:t>
      </w:r>
      <w:r>
        <w:rPr>
          <w:sz w:val="24"/>
          <w:szCs w:val="24"/>
        </w:rPr>
        <w:t>ED 4 : INFECTIONS RESPIRATOIRES COMMUNAUTAIRES</w:t>
      </w:r>
    </w:p>
    <w:p w:rsidR="00FE4896" w:rsidRDefault="00FE4896">
      <w:pPr>
        <w:rPr>
          <w:sz w:val="24"/>
          <w:szCs w:val="24"/>
        </w:rPr>
      </w:pPr>
    </w:p>
    <w:p w:rsidR="00FE4896" w:rsidRPr="00FE4896" w:rsidRDefault="00FE4896" w:rsidP="00FE4896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FE4896">
        <w:rPr>
          <w:b/>
          <w:sz w:val="28"/>
          <w:szCs w:val="28"/>
        </w:rPr>
        <w:t>Pré-requis</w:t>
      </w:r>
    </w:p>
    <w:p w:rsidR="00FE4896" w:rsidRPr="00FE4896" w:rsidRDefault="00FE4896" w:rsidP="00FE4896">
      <w:pPr>
        <w:rPr>
          <w:sz w:val="24"/>
          <w:szCs w:val="24"/>
        </w:rPr>
      </w:pPr>
      <w:r w:rsidRPr="00FE4896">
        <w:rPr>
          <w:sz w:val="24"/>
          <w:szCs w:val="24"/>
        </w:rPr>
        <w:t>Les voies aériennes supérieures (VAS : nez, pharynx, larynx, trachée) contiennent des bactéries commensales alors que les VAI (inférieures : bronches, bronchioles, alvéoles) sont normalement stériles.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4896" w:rsidRPr="00FE4896" w:rsidTr="00FE4896">
        <w:tc>
          <w:tcPr>
            <w:tcW w:w="2265" w:type="dxa"/>
          </w:tcPr>
          <w:p w:rsidR="00FE4896" w:rsidRPr="00FE4896" w:rsidRDefault="00FE4896" w:rsidP="00FE4896">
            <w:pPr>
              <w:rPr>
                <w:b/>
                <w:sz w:val="28"/>
                <w:szCs w:val="28"/>
              </w:rPr>
            </w:pPr>
            <w:r w:rsidRPr="00FE4896">
              <w:rPr>
                <w:b/>
                <w:sz w:val="28"/>
                <w:szCs w:val="28"/>
              </w:rPr>
              <w:t>Bronchite aiguë</w:t>
            </w:r>
          </w:p>
        </w:tc>
        <w:tc>
          <w:tcPr>
            <w:tcW w:w="2265" w:type="dxa"/>
          </w:tcPr>
          <w:p w:rsidR="00FE4896" w:rsidRPr="00FE4896" w:rsidRDefault="00FE4896" w:rsidP="00FE48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Exacerbation de </w:t>
            </w:r>
            <w:r w:rsidRPr="00FE4896">
              <w:rPr>
                <w:b/>
                <w:sz w:val="28"/>
                <w:szCs w:val="28"/>
              </w:rPr>
              <w:t>BPCO</w:t>
            </w:r>
          </w:p>
        </w:tc>
        <w:tc>
          <w:tcPr>
            <w:tcW w:w="2266" w:type="dxa"/>
          </w:tcPr>
          <w:p w:rsidR="00FE4896" w:rsidRPr="00FE4896" w:rsidRDefault="00FE4896" w:rsidP="00FE4896">
            <w:pPr>
              <w:rPr>
                <w:b/>
                <w:sz w:val="28"/>
                <w:szCs w:val="28"/>
              </w:rPr>
            </w:pPr>
            <w:r w:rsidRPr="00FE4896">
              <w:rPr>
                <w:b/>
                <w:sz w:val="28"/>
                <w:szCs w:val="28"/>
              </w:rPr>
              <w:t>Bronchiolite</w:t>
            </w:r>
          </w:p>
        </w:tc>
        <w:tc>
          <w:tcPr>
            <w:tcW w:w="2266" w:type="dxa"/>
          </w:tcPr>
          <w:p w:rsidR="00FE4896" w:rsidRPr="00FE4896" w:rsidRDefault="00FE4896" w:rsidP="00FE4896">
            <w:pPr>
              <w:rPr>
                <w:b/>
                <w:sz w:val="28"/>
                <w:szCs w:val="28"/>
              </w:rPr>
            </w:pPr>
            <w:r w:rsidRPr="00FE4896">
              <w:rPr>
                <w:b/>
                <w:sz w:val="28"/>
                <w:szCs w:val="28"/>
              </w:rPr>
              <w:t>Pneumonie</w:t>
            </w:r>
          </w:p>
        </w:tc>
      </w:tr>
      <w:tr w:rsidR="00FE4896" w:rsidTr="00FE4896">
        <w:tc>
          <w:tcPr>
            <w:tcW w:w="2265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inflammation de la muqueuse bronchique sans atteinte parenchymateuse</w:t>
            </w:r>
          </w:p>
        </w:tc>
        <w:tc>
          <w:tcPr>
            <w:tcW w:w="2265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Parfois</w:t>
            </w:r>
            <w:r>
              <w:rPr>
                <w:sz w:val="24"/>
                <w:szCs w:val="24"/>
              </w:rPr>
              <w:t xml:space="preserve"> d’origine bactérienne peuvent aggraver la BPCO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des bronchioles</w:t>
            </w:r>
          </w:p>
        </w:tc>
        <w:tc>
          <w:tcPr>
            <w:tcW w:w="2266" w:type="dxa"/>
          </w:tcPr>
          <w:p w:rsidR="00FE4896" w:rsidRP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du parenchyme pulmonaire d’évolution aiguë</w:t>
            </w:r>
          </w:p>
        </w:tc>
      </w:tr>
      <w:tr w:rsidR="00FE4896" w:rsidTr="00FE4896">
        <w:tc>
          <w:tcPr>
            <w:tcW w:w="2265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fréquent (10 million cas/an)</w:t>
            </w:r>
          </w:p>
        </w:tc>
        <w:tc>
          <w:tcPr>
            <w:tcW w:w="2265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millions cas/an</w:t>
            </w:r>
          </w:p>
        </w:tc>
        <w:tc>
          <w:tcPr>
            <w:tcW w:w="2266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Surtout chez le nourrisson</w:t>
            </w:r>
          </w:p>
        </w:tc>
        <w:tc>
          <w:tcPr>
            <w:tcW w:w="2266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 – 600 000 cas/an</w:t>
            </w:r>
          </w:p>
        </w:tc>
      </w:tr>
      <w:tr w:rsidR="00FE4896" w:rsidTr="00FE4896">
        <w:tc>
          <w:tcPr>
            <w:tcW w:w="2265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plus souvent virale</w:t>
            </w:r>
          </w:p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Contexte épidémique</w:t>
            </w:r>
          </w:p>
        </w:tc>
        <w:tc>
          <w:tcPr>
            <w:tcW w:w="2265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Etiologique non infectieuse 1 fois sur 2</w:t>
            </w:r>
          </w:p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crachat purulent = origine bactérienne probable</w:t>
            </w:r>
          </w:p>
        </w:tc>
        <w:tc>
          <w:tcPr>
            <w:tcW w:w="2266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D’origine virale</w:t>
            </w:r>
          </w:p>
        </w:tc>
        <w:tc>
          <w:tcPr>
            <w:tcW w:w="2266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</w:p>
        </w:tc>
      </w:tr>
      <w:tr w:rsidR="00FE4896" w:rsidTr="00FE4896">
        <w:tc>
          <w:tcPr>
            <w:tcW w:w="2265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 uniquement clinique</w:t>
            </w:r>
          </w:p>
          <w:p w:rsidR="00FE4896" w:rsidRDefault="00FE4896" w:rsidP="00FE4896">
            <w:pPr>
              <w:rPr>
                <w:sz w:val="24"/>
                <w:szCs w:val="24"/>
              </w:rPr>
            </w:pPr>
          </w:p>
          <w:p w:rsidR="00FE4896" w:rsidRDefault="00FE4896" w:rsidP="00FE4896">
            <w:pPr>
              <w:rPr>
                <w:sz w:val="24"/>
                <w:szCs w:val="24"/>
              </w:rPr>
            </w:pPr>
          </w:p>
          <w:p w:rsidR="00FE4896" w:rsidRDefault="00FE4896" w:rsidP="00FE4896">
            <w:pPr>
              <w:rPr>
                <w:sz w:val="24"/>
                <w:szCs w:val="24"/>
              </w:rPr>
            </w:pPr>
          </w:p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GUERISON SPONTANEE = PAS D’ATB</w:t>
            </w:r>
          </w:p>
        </w:tc>
        <w:tc>
          <w:tcPr>
            <w:tcW w:w="2265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 difficile</w:t>
            </w:r>
          </w:p>
        </w:tc>
        <w:tc>
          <w:tcPr>
            <w:tcW w:w="2266" w:type="dxa"/>
          </w:tcPr>
          <w:p w:rsidR="00FE4896" w:rsidRPr="00FE4896" w:rsidRDefault="00FE4896" w:rsidP="00FE489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diagnostic est</w:t>
            </w:r>
          </w:p>
          <w:p w:rsidR="00FE4896" w:rsidRDefault="00FE4896" w:rsidP="00FE4896">
            <w:pPr>
              <w:rPr>
                <w:sz w:val="24"/>
                <w:szCs w:val="24"/>
              </w:rPr>
            </w:pPr>
            <w:r w:rsidRPr="00FE48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E489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linique : </w:t>
            </w:r>
            <w:r w:rsidRPr="00FE4896">
              <w:rPr>
                <w:sz w:val="24"/>
                <w:szCs w:val="24"/>
              </w:rPr>
              <w:t xml:space="preserve">toux, dyspnée, fièvre, crépitants, </w:t>
            </w:r>
            <w:r>
              <w:rPr>
                <w:sz w:val="24"/>
                <w:szCs w:val="24"/>
              </w:rPr>
              <w:t xml:space="preserve">douleurs </w:t>
            </w:r>
            <w:r w:rsidRPr="00FE4896">
              <w:rPr>
                <w:sz w:val="24"/>
                <w:szCs w:val="24"/>
              </w:rPr>
              <w:t>thoracique</w:t>
            </w:r>
            <w:r>
              <w:rPr>
                <w:sz w:val="24"/>
                <w:szCs w:val="24"/>
              </w:rPr>
              <w:t>, expectorations)</w:t>
            </w:r>
          </w:p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Radio : infiltrat interstitiel, image lobaire</w:t>
            </w:r>
          </w:p>
          <w:p w:rsidR="00FE4896" w:rsidRDefault="00FE4896" w:rsidP="00FE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Microbiologique</w:t>
            </w:r>
          </w:p>
        </w:tc>
      </w:tr>
    </w:tbl>
    <w:p w:rsidR="00FE4896" w:rsidRDefault="00FE4896" w:rsidP="00FE4896">
      <w:pPr>
        <w:rPr>
          <w:sz w:val="24"/>
          <w:szCs w:val="24"/>
        </w:rPr>
      </w:pPr>
    </w:p>
    <w:p w:rsidR="00E74EE0" w:rsidRPr="00E74EE0" w:rsidRDefault="00E74EE0" w:rsidP="00E74EE0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Pneumonies</w:t>
      </w:r>
      <w:r w:rsidRPr="00E74EE0">
        <w:rPr>
          <w:b/>
          <w:sz w:val="28"/>
          <w:szCs w:val="28"/>
        </w:rPr>
        <w:t xml:space="preserve"> </w:t>
      </w:r>
    </w:p>
    <w:p w:rsidR="00E74EE0" w:rsidRPr="00E74EE0" w:rsidRDefault="00FE4896" w:rsidP="00FE4896">
      <w:pPr>
        <w:rPr>
          <w:b/>
          <w:sz w:val="24"/>
          <w:szCs w:val="24"/>
        </w:rPr>
      </w:pPr>
      <w:r w:rsidRPr="00E74EE0">
        <w:rPr>
          <w:b/>
          <w:sz w:val="24"/>
          <w:szCs w:val="24"/>
        </w:rPr>
        <w:t>Etiologies</w:t>
      </w:r>
      <w:r w:rsidR="00E74EE0" w:rsidRPr="00E74EE0">
        <w:rPr>
          <w:b/>
          <w:sz w:val="24"/>
          <w:szCs w:val="24"/>
        </w:rPr>
        <w:t xml:space="preserve"> les plus probables des pneumonies communautaires </w:t>
      </w:r>
    </w:p>
    <w:p w:rsidR="00E74EE0" w:rsidRDefault="00E74EE0" w:rsidP="00E74E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Pneumopathies franches lobaires aiguës : Streptococcus </w:t>
      </w:r>
      <w:proofErr w:type="spellStart"/>
      <w:r>
        <w:rPr>
          <w:sz w:val="24"/>
          <w:szCs w:val="24"/>
        </w:rPr>
        <w:t>Pneumoniae</w:t>
      </w:r>
      <w:proofErr w:type="spellEnd"/>
      <w:r>
        <w:rPr>
          <w:sz w:val="24"/>
          <w:szCs w:val="24"/>
        </w:rPr>
        <w:t xml:space="preserve"> (= pneumocoques = 50%), </w:t>
      </w:r>
      <w:proofErr w:type="spellStart"/>
      <w:r>
        <w:rPr>
          <w:sz w:val="24"/>
          <w:szCs w:val="24"/>
        </w:rPr>
        <w:t>Haemophilus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Influenzae</w:t>
      </w:r>
      <w:proofErr w:type="spellEnd"/>
      <w:r>
        <w:rPr>
          <w:sz w:val="24"/>
          <w:szCs w:val="24"/>
        </w:rPr>
        <w:t>, parfois s. aureus. </w:t>
      </w:r>
    </w:p>
    <w:p w:rsidR="00E74EE0" w:rsidRDefault="00E74EE0" w:rsidP="00E74E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Pneumopathies interstitielles : étiologies virales +++ , sinon </w:t>
      </w:r>
      <w:proofErr w:type="spellStart"/>
      <w:r>
        <w:rPr>
          <w:sz w:val="24"/>
          <w:szCs w:val="24"/>
        </w:rPr>
        <w:t>bact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mycoplasma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pneumoniae</w:t>
      </w:r>
      <w:proofErr w:type="spellEnd"/>
    </w:p>
    <w:p w:rsidR="00E74EE0" w:rsidRDefault="00E74EE0" w:rsidP="00E74E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Tableau mixtes : </w:t>
      </w:r>
      <w:proofErr w:type="spellStart"/>
      <w:r>
        <w:rPr>
          <w:sz w:val="24"/>
          <w:szCs w:val="24"/>
        </w:rPr>
        <w:t>legionella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pneumophila</w:t>
      </w:r>
      <w:proofErr w:type="spellEnd"/>
      <w:r>
        <w:rPr>
          <w:sz w:val="24"/>
          <w:szCs w:val="24"/>
        </w:rPr>
        <w:t xml:space="preserve"> (10%)</w:t>
      </w:r>
    </w:p>
    <w:p w:rsidR="00E74EE0" w:rsidRDefault="00E74EE0" w:rsidP="00E74EE0">
      <w:pPr>
        <w:rPr>
          <w:sz w:val="24"/>
          <w:szCs w:val="24"/>
        </w:rPr>
      </w:pPr>
      <w:r>
        <w:rPr>
          <w:sz w:val="24"/>
          <w:szCs w:val="24"/>
        </w:rPr>
        <w:t>AUCUN BILAN MICROBIO SI FAIBLES CRITERES DE GRAVITE</w:t>
      </w:r>
    </w:p>
    <w:p w:rsidR="00E74EE0" w:rsidRDefault="00E74EE0" w:rsidP="00E74EE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Sinon prélèvement puis culture pour identifier la ou les bactéries et avant tout </w:t>
      </w:r>
      <w:proofErr w:type="spellStart"/>
      <w:r>
        <w:rPr>
          <w:sz w:val="24"/>
          <w:szCs w:val="24"/>
        </w:rPr>
        <w:t>ATBthérapie</w:t>
      </w:r>
      <w:proofErr w:type="spellEnd"/>
      <w:r>
        <w:rPr>
          <w:sz w:val="24"/>
          <w:szCs w:val="24"/>
        </w:rPr>
        <w:t xml:space="preserve"> (antibiogramme). </w:t>
      </w:r>
      <w:r w:rsidRPr="00E74EE0">
        <w:rPr>
          <w:b/>
          <w:sz w:val="24"/>
          <w:szCs w:val="24"/>
        </w:rPr>
        <w:t>Il existe différents types de prélèvement </w:t>
      </w:r>
    </w:p>
    <w:p w:rsidR="00E74EE0" w:rsidRDefault="00E74EE0" w:rsidP="00E74EE0">
      <w:pPr>
        <w:rPr>
          <w:sz w:val="24"/>
          <w:szCs w:val="24"/>
        </w:rPr>
      </w:pPr>
      <w:r>
        <w:rPr>
          <w:sz w:val="24"/>
          <w:szCs w:val="24"/>
        </w:rPr>
        <w:t xml:space="preserve">Sécrétions respiratoires hautes (contaminées par la flore </w:t>
      </w:r>
      <w:proofErr w:type="spellStart"/>
      <w:r>
        <w:rPr>
          <w:sz w:val="24"/>
          <w:szCs w:val="24"/>
        </w:rPr>
        <w:t>oro</w:t>
      </w:r>
      <w:proofErr w:type="spellEnd"/>
      <w:r>
        <w:rPr>
          <w:sz w:val="24"/>
          <w:szCs w:val="24"/>
        </w:rPr>
        <w:t xml:space="preserve">-pharyngée) : </w:t>
      </w:r>
    </w:p>
    <w:p w:rsidR="00E74EE0" w:rsidRDefault="00E74EE0" w:rsidP="00E74E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ECBC (examen </w:t>
      </w:r>
      <w:proofErr w:type="spellStart"/>
      <w:r>
        <w:rPr>
          <w:sz w:val="24"/>
          <w:szCs w:val="24"/>
        </w:rPr>
        <w:t>cytobactério</w:t>
      </w:r>
      <w:proofErr w:type="spellEnd"/>
      <w:r>
        <w:rPr>
          <w:sz w:val="24"/>
          <w:szCs w:val="24"/>
        </w:rPr>
        <w:t xml:space="preserve"> des crachats) : le matin au réveil après un rinçage buccodentaire. Kiné utile si effort de toux nécessaire</w:t>
      </w:r>
    </w:p>
    <w:p w:rsidR="00E74EE0" w:rsidRDefault="00E74EE0" w:rsidP="00E74E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Aspiration bronchique (souvent chez patient intubé) </w:t>
      </w:r>
    </w:p>
    <w:p w:rsidR="00E74EE0" w:rsidRPr="00E74EE0" w:rsidRDefault="00E74EE0" w:rsidP="00E74EE0">
      <w:pPr>
        <w:rPr>
          <w:sz w:val="24"/>
          <w:szCs w:val="24"/>
        </w:rPr>
      </w:pPr>
      <w:r>
        <w:rPr>
          <w:sz w:val="24"/>
          <w:szCs w:val="24"/>
        </w:rPr>
        <w:t xml:space="preserve">Sécrétions respiratoires basses (stériles sauf si infections) : </w:t>
      </w:r>
    </w:p>
    <w:p w:rsidR="00E74EE0" w:rsidRDefault="00E74EE0" w:rsidP="00E74E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Prélèvement Distal Protégé (PDP) et Brossage (BDP) : brosse de nylon dans un double KT sous fibroscopie</w:t>
      </w:r>
    </w:p>
    <w:p w:rsidR="00E74EE0" w:rsidRDefault="00E74EE0" w:rsidP="00E74E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Lavage Broncho-Alvéolaire (LBA) : injection et ré-aspiration de sérum </w:t>
      </w:r>
      <w:proofErr w:type="spellStart"/>
      <w:r>
        <w:rPr>
          <w:sz w:val="24"/>
          <w:szCs w:val="24"/>
        </w:rPr>
        <w:t>phy</w:t>
      </w:r>
      <w:proofErr w:type="spellEnd"/>
      <w:r>
        <w:rPr>
          <w:sz w:val="24"/>
          <w:szCs w:val="24"/>
        </w:rPr>
        <w:t xml:space="preserve"> sous </w:t>
      </w:r>
      <w:proofErr w:type="spellStart"/>
      <w:r>
        <w:rPr>
          <w:sz w:val="24"/>
          <w:szCs w:val="24"/>
        </w:rPr>
        <w:t>fibro</w:t>
      </w:r>
      <w:proofErr w:type="spellEnd"/>
      <w:r>
        <w:rPr>
          <w:sz w:val="24"/>
          <w:szCs w:val="24"/>
        </w:rPr>
        <w:t>.</w:t>
      </w:r>
    </w:p>
    <w:p w:rsidR="00E74EE0" w:rsidRDefault="00E74EE0" w:rsidP="00E74EE0">
      <w:pPr>
        <w:rPr>
          <w:sz w:val="24"/>
          <w:szCs w:val="24"/>
        </w:rPr>
      </w:pPr>
      <w:r w:rsidRPr="00E74E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Autres prélèvements : </w:t>
      </w:r>
    </w:p>
    <w:p w:rsidR="00E74EE0" w:rsidRDefault="00E74EE0" w:rsidP="00E74E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Hémocultures (rarement positives) </w:t>
      </w:r>
    </w:p>
    <w:p w:rsidR="00E74EE0" w:rsidRDefault="00E74EE0" w:rsidP="00E74E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Recherche d’AG solubles dans les urines par </w:t>
      </w:r>
      <w:proofErr w:type="spellStart"/>
      <w:r>
        <w:rPr>
          <w:sz w:val="24"/>
          <w:szCs w:val="24"/>
        </w:rPr>
        <w:t>immunochromatographie</w:t>
      </w:r>
      <w:proofErr w:type="spellEnd"/>
      <w:r>
        <w:rPr>
          <w:sz w:val="24"/>
          <w:szCs w:val="24"/>
        </w:rPr>
        <w:t xml:space="preserve"> (facile/rapide)</w:t>
      </w:r>
    </w:p>
    <w:p w:rsidR="00E74EE0" w:rsidRDefault="00E74EE0" w:rsidP="00E74EE0">
      <w:pPr>
        <w:rPr>
          <w:sz w:val="24"/>
          <w:szCs w:val="24"/>
        </w:rPr>
      </w:pPr>
    </w:p>
    <w:p w:rsidR="00E74EE0" w:rsidRPr="00E74EE0" w:rsidRDefault="007439C6" w:rsidP="00E74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74EE0" w:rsidRPr="00E74EE0">
        <w:rPr>
          <w:b/>
          <w:sz w:val="24"/>
          <w:szCs w:val="24"/>
        </w:rPr>
        <w:t>neumocoques</w:t>
      </w:r>
    </w:p>
    <w:p w:rsidR="00E74EE0" w:rsidRDefault="00E74EE0" w:rsidP="00E74EE0">
      <w:pPr>
        <w:rPr>
          <w:sz w:val="24"/>
          <w:szCs w:val="24"/>
        </w:rPr>
      </w:pPr>
      <w:r>
        <w:rPr>
          <w:sz w:val="24"/>
          <w:szCs w:val="24"/>
        </w:rPr>
        <w:t xml:space="preserve">Colonie alpha-hémolytique sous forme de diplocoque à GRAM positif (deux coques dans une capsule </w:t>
      </w:r>
      <w:proofErr w:type="spellStart"/>
      <w:r>
        <w:rPr>
          <w:sz w:val="24"/>
          <w:szCs w:val="24"/>
        </w:rPr>
        <w:t>polyosidique</w:t>
      </w:r>
      <w:proofErr w:type="spellEnd"/>
      <w:r>
        <w:rPr>
          <w:sz w:val="24"/>
          <w:szCs w:val="24"/>
        </w:rPr>
        <w:t>). Sensible à l’</w:t>
      </w:r>
      <w:proofErr w:type="spellStart"/>
      <w:r>
        <w:rPr>
          <w:sz w:val="24"/>
          <w:szCs w:val="24"/>
        </w:rPr>
        <w:t>optochine</w:t>
      </w:r>
      <w:proofErr w:type="spellEnd"/>
      <w:r>
        <w:rPr>
          <w:sz w:val="24"/>
          <w:szCs w:val="24"/>
        </w:rPr>
        <w:t xml:space="preserve"> (les autres </w:t>
      </w:r>
      <w:proofErr w:type="spellStart"/>
      <w:r>
        <w:rPr>
          <w:sz w:val="24"/>
          <w:szCs w:val="24"/>
        </w:rPr>
        <w:t>strepto</w:t>
      </w:r>
      <w:proofErr w:type="spellEnd"/>
      <w:r>
        <w:rPr>
          <w:sz w:val="24"/>
          <w:szCs w:val="24"/>
        </w:rPr>
        <w:t xml:space="preserve"> sont </w:t>
      </w:r>
      <w:proofErr w:type="spellStart"/>
      <w:r>
        <w:rPr>
          <w:sz w:val="24"/>
          <w:szCs w:val="24"/>
        </w:rPr>
        <w:t>optochine</w:t>
      </w:r>
      <w:proofErr w:type="spellEnd"/>
      <w:r>
        <w:rPr>
          <w:sz w:val="24"/>
          <w:szCs w:val="24"/>
        </w:rPr>
        <w:t xml:space="preserve"> résistants)</w:t>
      </w:r>
    </w:p>
    <w:p w:rsidR="00E74EE0" w:rsidRDefault="00E74EE0" w:rsidP="00E74EE0">
      <w:pPr>
        <w:rPr>
          <w:sz w:val="24"/>
          <w:szCs w:val="24"/>
        </w:rPr>
      </w:pPr>
      <w:r>
        <w:rPr>
          <w:sz w:val="24"/>
          <w:szCs w:val="24"/>
        </w:rPr>
        <w:t xml:space="preserve">Naturellement sensible à la pénicilline et aux céphalosporines MAIS depuis </w:t>
      </w:r>
      <w:proofErr w:type="spellStart"/>
      <w:r>
        <w:rPr>
          <w:sz w:val="24"/>
          <w:szCs w:val="24"/>
        </w:rPr>
        <w:t>qques</w:t>
      </w:r>
      <w:proofErr w:type="spellEnd"/>
      <w:r>
        <w:rPr>
          <w:sz w:val="24"/>
          <w:szCs w:val="24"/>
        </w:rPr>
        <w:t xml:space="preserve"> années </w:t>
      </w:r>
      <w:r w:rsidRPr="00E74EE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sensibilité diminué à la pénicilline (PSDP) </w:t>
      </w:r>
      <w:r w:rsidRPr="00E74EE0">
        <w:rPr>
          <w:sz w:val="24"/>
          <w:szCs w:val="24"/>
        </w:rPr>
        <w:sym w:font="Wingdings" w:char="F0E8"/>
      </w:r>
      <w:proofErr w:type="spellStart"/>
      <w:r>
        <w:rPr>
          <w:sz w:val="24"/>
          <w:szCs w:val="24"/>
        </w:rPr>
        <w:t>ttt</w:t>
      </w:r>
      <w:proofErr w:type="spellEnd"/>
      <w:r>
        <w:rPr>
          <w:sz w:val="24"/>
          <w:szCs w:val="24"/>
        </w:rPr>
        <w:t xml:space="preserve"> par Amoxicilline </w:t>
      </w:r>
    </w:p>
    <w:p w:rsidR="00E74EE0" w:rsidRPr="00E74EE0" w:rsidRDefault="00E74EE0" w:rsidP="00E74EE0">
      <w:pPr>
        <w:rPr>
          <w:b/>
          <w:sz w:val="24"/>
          <w:szCs w:val="24"/>
        </w:rPr>
      </w:pPr>
      <w:proofErr w:type="spellStart"/>
      <w:r w:rsidRPr="00E74EE0">
        <w:rPr>
          <w:b/>
          <w:sz w:val="24"/>
          <w:szCs w:val="24"/>
        </w:rPr>
        <w:t>Mycoplasma</w:t>
      </w:r>
      <w:proofErr w:type="spellEnd"/>
      <w:r w:rsidRPr="00E74EE0">
        <w:rPr>
          <w:b/>
          <w:sz w:val="24"/>
          <w:szCs w:val="24"/>
        </w:rPr>
        <w:t xml:space="preserve"> </w:t>
      </w:r>
      <w:proofErr w:type="spellStart"/>
      <w:r w:rsidRPr="00E74EE0">
        <w:rPr>
          <w:b/>
          <w:sz w:val="24"/>
          <w:szCs w:val="24"/>
        </w:rPr>
        <w:t>pneumoniae</w:t>
      </w:r>
      <w:proofErr w:type="spellEnd"/>
    </w:p>
    <w:p w:rsidR="00E74EE0" w:rsidRDefault="00E74EE0" w:rsidP="00E74EE0">
      <w:pPr>
        <w:rPr>
          <w:sz w:val="24"/>
          <w:szCs w:val="24"/>
        </w:rPr>
      </w:pPr>
      <w:r>
        <w:rPr>
          <w:sz w:val="24"/>
          <w:szCs w:val="24"/>
        </w:rPr>
        <w:t xml:space="preserve">Culture longue et difficile. Le diag se fait par PCR d’une prélèvement </w:t>
      </w:r>
      <w:proofErr w:type="spellStart"/>
      <w:r>
        <w:rPr>
          <w:sz w:val="24"/>
          <w:szCs w:val="24"/>
        </w:rPr>
        <w:t>nasopharyngé</w:t>
      </w:r>
      <w:proofErr w:type="spellEnd"/>
      <w:r>
        <w:rPr>
          <w:sz w:val="24"/>
          <w:szCs w:val="24"/>
        </w:rPr>
        <w:t xml:space="preserve"> ou respiratoire </w:t>
      </w:r>
      <w:r w:rsidRPr="00E74EE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sérologie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.</w:t>
      </w:r>
    </w:p>
    <w:p w:rsidR="00E74EE0" w:rsidRDefault="00E74EE0" w:rsidP="00E74EE0">
      <w:pPr>
        <w:rPr>
          <w:sz w:val="24"/>
          <w:szCs w:val="24"/>
        </w:rPr>
      </w:pPr>
      <w:r>
        <w:rPr>
          <w:sz w:val="24"/>
          <w:szCs w:val="24"/>
        </w:rPr>
        <w:t xml:space="preserve">ATB actifs : cyclines, macrolides, </w:t>
      </w:r>
      <w:proofErr w:type="spellStart"/>
      <w:r>
        <w:rPr>
          <w:sz w:val="24"/>
          <w:szCs w:val="24"/>
        </w:rPr>
        <w:t>fluoroquinolones</w:t>
      </w:r>
      <w:proofErr w:type="spellEnd"/>
      <w:r>
        <w:rPr>
          <w:sz w:val="24"/>
          <w:szCs w:val="24"/>
        </w:rPr>
        <w:t>. Résistant au Béta-</w:t>
      </w:r>
      <w:proofErr w:type="spellStart"/>
      <w:r>
        <w:rPr>
          <w:sz w:val="24"/>
          <w:szCs w:val="24"/>
        </w:rPr>
        <w:t>lactamines</w:t>
      </w:r>
      <w:proofErr w:type="spellEnd"/>
      <w:r>
        <w:rPr>
          <w:sz w:val="24"/>
          <w:szCs w:val="24"/>
        </w:rPr>
        <w:t>.</w:t>
      </w:r>
    </w:p>
    <w:p w:rsidR="00E74EE0" w:rsidRPr="00E74EE0" w:rsidRDefault="00E74EE0" w:rsidP="00E74EE0">
      <w:pPr>
        <w:rPr>
          <w:b/>
          <w:sz w:val="24"/>
          <w:szCs w:val="24"/>
        </w:rPr>
      </w:pPr>
      <w:r w:rsidRPr="00E74EE0">
        <w:rPr>
          <w:b/>
          <w:sz w:val="24"/>
          <w:szCs w:val="24"/>
        </w:rPr>
        <w:t xml:space="preserve">Legionella </w:t>
      </w:r>
      <w:proofErr w:type="spellStart"/>
      <w:r w:rsidRPr="00E74EE0">
        <w:rPr>
          <w:b/>
          <w:sz w:val="24"/>
          <w:szCs w:val="24"/>
        </w:rPr>
        <w:t>pneumophila</w:t>
      </w:r>
      <w:proofErr w:type="spellEnd"/>
    </w:p>
    <w:p w:rsidR="007439C6" w:rsidRDefault="00E74EE0" w:rsidP="00E74EE0">
      <w:pPr>
        <w:rPr>
          <w:sz w:val="24"/>
          <w:szCs w:val="24"/>
        </w:rPr>
      </w:pPr>
      <w:r>
        <w:rPr>
          <w:sz w:val="24"/>
          <w:szCs w:val="24"/>
        </w:rPr>
        <w:t xml:space="preserve"> Bacille GRAM négatif d’origine </w:t>
      </w:r>
      <w:proofErr w:type="spellStart"/>
      <w:r>
        <w:rPr>
          <w:sz w:val="24"/>
          <w:szCs w:val="24"/>
        </w:rPr>
        <w:t>hydrotellurique</w:t>
      </w:r>
      <w:proofErr w:type="spellEnd"/>
      <w:r>
        <w:rPr>
          <w:sz w:val="24"/>
          <w:szCs w:val="24"/>
        </w:rPr>
        <w:t xml:space="preserve"> (contamination par aérosols d‘eau contaminée). Diag par recherche d’AG urinaire, culture sur </w:t>
      </w:r>
      <w:r>
        <w:rPr>
          <w:i/>
          <w:sz w:val="24"/>
          <w:szCs w:val="24"/>
        </w:rPr>
        <w:t>milieu spécialisé</w:t>
      </w:r>
      <w:r>
        <w:rPr>
          <w:sz w:val="24"/>
          <w:szCs w:val="24"/>
        </w:rPr>
        <w:t>, croissance lente (3-10 jours). DECLARATION OBLIGATOIRE</w:t>
      </w:r>
      <w:r w:rsidR="007439C6">
        <w:rPr>
          <w:sz w:val="24"/>
          <w:szCs w:val="24"/>
        </w:rPr>
        <w:t>.</w:t>
      </w:r>
    </w:p>
    <w:p w:rsidR="00E74EE0" w:rsidRDefault="007439C6" w:rsidP="00E74EE0">
      <w:pPr>
        <w:rPr>
          <w:sz w:val="24"/>
          <w:szCs w:val="24"/>
        </w:rPr>
      </w:pPr>
      <w:r>
        <w:rPr>
          <w:sz w:val="24"/>
          <w:szCs w:val="24"/>
        </w:rPr>
        <w:t xml:space="preserve">ATB : macrolides et </w:t>
      </w:r>
      <w:proofErr w:type="spellStart"/>
      <w:r>
        <w:rPr>
          <w:sz w:val="24"/>
          <w:szCs w:val="24"/>
        </w:rPr>
        <w:t>fluoroquinolones</w:t>
      </w:r>
      <w:proofErr w:type="spellEnd"/>
      <w:r>
        <w:rPr>
          <w:sz w:val="24"/>
          <w:szCs w:val="24"/>
        </w:rPr>
        <w:t>. Résistant aux Béta-</w:t>
      </w:r>
      <w:proofErr w:type="spellStart"/>
      <w:r>
        <w:rPr>
          <w:sz w:val="24"/>
          <w:szCs w:val="24"/>
        </w:rPr>
        <w:t>lactamines</w:t>
      </w:r>
      <w:proofErr w:type="spellEnd"/>
      <w:r>
        <w:rPr>
          <w:sz w:val="24"/>
          <w:szCs w:val="24"/>
        </w:rPr>
        <w:t>.</w:t>
      </w:r>
    </w:p>
    <w:p w:rsidR="007439C6" w:rsidRDefault="007439C6" w:rsidP="007439C6">
      <w:pPr>
        <w:rPr>
          <w:b/>
          <w:bCs/>
          <w:sz w:val="24"/>
          <w:szCs w:val="24"/>
        </w:rPr>
      </w:pPr>
    </w:p>
    <w:p w:rsidR="007439C6" w:rsidRPr="007439C6" w:rsidRDefault="007439C6" w:rsidP="007439C6">
      <w:pPr>
        <w:rPr>
          <w:b/>
          <w:bCs/>
          <w:sz w:val="24"/>
          <w:szCs w:val="24"/>
        </w:rPr>
      </w:pPr>
      <w:r w:rsidRPr="007439C6">
        <w:rPr>
          <w:b/>
          <w:bCs/>
          <w:sz w:val="24"/>
          <w:szCs w:val="24"/>
        </w:rPr>
        <w:t>Prise en charge d’une Pneumonie</w:t>
      </w:r>
    </w:p>
    <w:p w:rsidR="007439C6" w:rsidRPr="007439C6" w:rsidRDefault="007439C6" w:rsidP="007439C6">
      <w:pPr>
        <w:rPr>
          <w:sz w:val="24"/>
          <w:szCs w:val="24"/>
        </w:rPr>
      </w:pPr>
      <w:r w:rsidRPr="007439C6">
        <w:rPr>
          <w:b/>
          <w:bCs/>
          <w:sz w:val="24"/>
          <w:szCs w:val="24"/>
        </w:rPr>
        <w:t>Le diagnostic repose d’abord sur la clinique et l’imagerie!</w:t>
      </w:r>
    </w:p>
    <w:p w:rsidR="00000000" w:rsidRPr="007439C6" w:rsidRDefault="00A674DA" w:rsidP="007439C6">
      <w:pPr>
        <w:numPr>
          <w:ilvl w:val="0"/>
          <w:numId w:val="6"/>
        </w:numPr>
        <w:rPr>
          <w:sz w:val="24"/>
          <w:szCs w:val="24"/>
        </w:rPr>
      </w:pPr>
      <w:r w:rsidRPr="007439C6">
        <w:rPr>
          <w:sz w:val="24"/>
          <w:szCs w:val="24"/>
        </w:rPr>
        <w:t>Place du diagnostic microbiologique variable:</w:t>
      </w:r>
    </w:p>
    <w:p w:rsidR="00000000" w:rsidRPr="007439C6" w:rsidRDefault="00A674DA" w:rsidP="007439C6">
      <w:pPr>
        <w:numPr>
          <w:ilvl w:val="1"/>
          <w:numId w:val="6"/>
        </w:numPr>
        <w:rPr>
          <w:sz w:val="24"/>
          <w:szCs w:val="24"/>
        </w:rPr>
      </w:pPr>
      <w:r w:rsidRPr="007439C6">
        <w:rPr>
          <w:sz w:val="24"/>
          <w:szCs w:val="24"/>
          <w:u w:val="single"/>
        </w:rPr>
        <w:t>PAC sans hospitalisation</w:t>
      </w:r>
      <w:r w:rsidRPr="007439C6">
        <w:rPr>
          <w:sz w:val="24"/>
          <w:szCs w:val="24"/>
        </w:rPr>
        <w:t xml:space="preserve">: </w:t>
      </w:r>
      <w:r w:rsidRPr="007439C6">
        <w:rPr>
          <w:b/>
          <w:bCs/>
          <w:sz w:val="24"/>
          <w:szCs w:val="24"/>
        </w:rPr>
        <w:t>pas de prélèvement</w:t>
      </w:r>
    </w:p>
    <w:p w:rsidR="007439C6" w:rsidRPr="007439C6" w:rsidRDefault="00A674DA" w:rsidP="007439C6">
      <w:pPr>
        <w:numPr>
          <w:ilvl w:val="1"/>
          <w:numId w:val="6"/>
        </w:numPr>
        <w:rPr>
          <w:sz w:val="24"/>
          <w:szCs w:val="24"/>
        </w:rPr>
      </w:pPr>
      <w:r w:rsidRPr="007439C6">
        <w:rPr>
          <w:sz w:val="24"/>
          <w:szCs w:val="24"/>
          <w:u w:val="single"/>
        </w:rPr>
        <w:lastRenderedPageBreak/>
        <w:t>Pneumonie avec hospitalisation:</w:t>
      </w:r>
      <w:r w:rsidR="007439C6">
        <w:rPr>
          <w:sz w:val="24"/>
          <w:szCs w:val="24"/>
        </w:rPr>
        <w:t xml:space="preserve"> </w:t>
      </w:r>
      <w:r w:rsidR="007439C6" w:rsidRPr="007439C6">
        <w:rPr>
          <w:b/>
          <w:bCs/>
          <w:sz w:val="24"/>
          <w:szCs w:val="24"/>
        </w:rPr>
        <w:t xml:space="preserve">hémocultures + </w:t>
      </w:r>
      <w:proofErr w:type="spellStart"/>
      <w:r w:rsidR="007439C6" w:rsidRPr="007439C6">
        <w:rPr>
          <w:b/>
          <w:bCs/>
          <w:sz w:val="24"/>
          <w:szCs w:val="24"/>
        </w:rPr>
        <w:t>plvts</w:t>
      </w:r>
      <w:proofErr w:type="spellEnd"/>
      <w:r w:rsidR="007439C6" w:rsidRPr="007439C6">
        <w:rPr>
          <w:b/>
          <w:bCs/>
          <w:sz w:val="24"/>
          <w:szCs w:val="24"/>
        </w:rPr>
        <w:t xml:space="preserve"> respiratoires +/- Ag urinaires </w:t>
      </w:r>
      <w:r w:rsidR="007439C6" w:rsidRPr="007439C6">
        <w:rPr>
          <w:b/>
          <w:bCs/>
          <w:i/>
          <w:iCs/>
          <w:sz w:val="24"/>
          <w:szCs w:val="24"/>
        </w:rPr>
        <w:t>Legionella +/-</w:t>
      </w:r>
      <w:r w:rsidR="007439C6" w:rsidRPr="007439C6">
        <w:rPr>
          <w:b/>
          <w:bCs/>
          <w:sz w:val="24"/>
          <w:szCs w:val="24"/>
        </w:rPr>
        <w:t>Ag pneumo</w:t>
      </w:r>
    </w:p>
    <w:p w:rsidR="007439C6" w:rsidRPr="007439C6" w:rsidRDefault="007439C6" w:rsidP="007439C6">
      <w:pPr>
        <w:rPr>
          <w:sz w:val="24"/>
          <w:szCs w:val="24"/>
        </w:rPr>
      </w:pPr>
      <w:r w:rsidRPr="007439C6">
        <w:rPr>
          <w:b/>
          <w:bCs/>
          <w:sz w:val="24"/>
          <w:szCs w:val="24"/>
        </w:rPr>
        <w:t>Traitement :</w:t>
      </w:r>
    </w:p>
    <w:p w:rsidR="00000000" w:rsidRPr="007439C6" w:rsidRDefault="00A674DA" w:rsidP="007439C6">
      <w:pPr>
        <w:numPr>
          <w:ilvl w:val="0"/>
          <w:numId w:val="7"/>
        </w:numPr>
        <w:rPr>
          <w:sz w:val="24"/>
          <w:szCs w:val="24"/>
        </w:rPr>
      </w:pPr>
      <w:r w:rsidRPr="007439C6">
        <w:rPr>
          <w:sz w:val="24"/>
          <w:szCs w:val="24"/>
        </w:rPr>
        <w:t>Fonction de la sévérité, du terrain, de la bactérie…</w:t>
      </w:r>
    </w:p>
    <w:p w:rsidR="00000000" w:rsidRPr="007439C6" w:rsidRDefault="00A674DA" w:rsidP="007439C6">
      <w:pPr>
        <w:numPr>
          <w:ilvl w:val="0"/>
          <w:numId w:val="7"/>
        </w:numPr>
        <w:rPr>
          <w:sz w:val="24"/>
          <w:szCs w:val="24"/>
        </w:rPr>
      </w:pPr>
      <w:r w:rsidRPr="007439C6">
        <w:rPr>
          <w:sz w:val="24"/>
          <w:szCs w:val="24"/>
          <w:u w:val="single"/>
        </w:rPr>
        <w:t>Principes de base:</w:t>
      </w:r>
    </w:p>
    <w:p w:rsidR="00000000" w:rsidRPr="007439C6" w:rsidRDefault="00A674DA" w:rsidP="007439C6">
      <w:pPr>
        <w:numPr>
          <w:ilvl w:val="1"/>
          <w:numId w:val="7"/>
        </w:numPr>
        <w:rPr>
          <w:sz w:val="24"/>
          <w:szCs w:val="24"/>
        </w:rPr>
      </w:pPr>
      <w:r w:rsidRPr="007439C6">
        <w:rPr>
          <w:sz w:val="24"/>
          <w:szCs w:val="24"/>
        </w:rPr>
        <w:t>Antibiothérapie probabiliste instaurée rapidement</w:t>
      </w:r>
    </w:p>
    <w:p w:rsidR="00000000" w:rsidRPr="007439C6" w:rsidRDefault="00A674DA" w:rsidP="007439C6">
      <w:pPr>
        <w:numPr>
          <w:ilvl w:val="1"/>
          <w:numId w:val="7"/>
        </w:numPr>
        <w:rPr>
          <w:sz w:val="24"/>
          <w:szCs w:val="24"/>
        </w:rPr>
      </w:pPr>
      <w:r w:rsidRPr="007439C6">
        <w:rPr>
          <w:sz w:val="24"/>
          <w:szCs w:val="24"/>
        </w:rPr>
        <w:t>Réévaluation à 48h</w:t>
      </w:r>
    </w:p>
    <w:p w:rsidR="00000000" w:rsidRPr="007439C6" w:rsidRDefault="00A674DA" w:rsidP="007439C6">
      <w:pPr>
        <w:numPr>
          <w:ilvl w:val="1"/>
          <w:numId w:val="7"/>
        </w:numPr>
        <w:rPr>
          <w:sz w:val="24"/>
          <w:szCs w:val="24"/>
        </w:rPr>
      </w:pPr>
      <w:r w:rsidRPr="007439C6">
        <w:rPr>
          <w:sz w:val="24"/>
          <w:szCs w:val="24"/>
        </w:rPr>
        <w:t>Adaptation de l’antibiothérapie à la bactérie retrouvée et antibiogramme</w:t>
      </w:r>
    </w:p>
    <w:p w:rsidR="007439C6" w:rsidRDefault="007439C6" w:rsidP="00E74EE0">
      <w:pPr>
        <w:rPr>
          <w:sz w:val="24"/>
          <w:szCs w:val="24"/>
        </w:rPr>
      </w:pPr>
    </w:p>
    <w:p w:rsidR="007439C6" w:rsidRDefault="000F7A11" w:rsidP="000F7A11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0F7A11">
        <w:rPr>
          <w:b/>
          <w:sz w:val="28"/>
          <w:szCs w:val="28"/>
        </w:rPr>
        <w:t>Coqueluche</w:t>
      </w:r>
    </w:p>
    <w:p w:rsidR="000F7A11" w:rsidRDefault="00A674DA" w:rsidP="000F7A11">
      <w:pPr>
        <w:rPr>
          <w:iCs/>
          <w:sz w:val="24"/>
          <w:szCs w:val="24"/>
        </w:rPr>
      </w:pPr>
      <w:proofErr w:type="spellStart"/>
      <w:r w:rsidRPr="000F7A11">
        <w:rPr>
          <w:i/>
          <w:iCs/>
          <w:sz w:val="24"/>
          <w:szCs w:val="24"/>
        </w:rPr>
        <w:t>Bordetella</w:t>
      </w:r>
      <w:proofErr w:type="spellEnd"/>
      <w:r w:rsidRPr="000F7A11">
        <w:rPr>
          <w:i/>
          <w:iCs/>
          <w:sz w:val="24"/>
          <w:szCs w:val="24"/>
        </w:rPr>
        <w:t xml:space="preserve"> </w:t>
      </w:r>
      <w:proofErr w:type="spellStart"/>
      <w:r w:rsidRPr="000F7A11">
        <w:rPr>
          <w:i/>
          <w:iCs/>
          <w:sz w:val="24"/>
          <w:szCs w:val="24"/>
        </w:rPr>
        <w:t>pertussis</w:t>
      </w:r>
      <w:proofErr w:type="spellEnd"/>
      <w:r w:rsidRPr="000F7A11">
        <w:rPr>
          <w:i/>
          <w:iCs/>
          <w:sz w:val="24"/>
          <w:szCs w:val="24"/>
        </w:rPr>
        <w:t xml:space="preserve"> ou accessoirement </w:t>
      </w:r>
      <w:proofErr w:type="spellStart"/>
      <w:r w:rsidRPr="000F7A11">
        <w:rPr>
          <w:i/>
          <w:iCs/>
          <w:sz w:val="24"/>
          <w:szCs w:val="24"/>
        </w:rPr>
        <w:t>parapertussis</w:t>
      </w:r>
      <w:proofErr w:type="spellEnd"/>
      <w:r w:rsidR="000F7A11">
        <w:rPr>
          <w:iCs/>
          <w:sz w:val="24"/>
          <w:szCs w:val="24"/>
        </w:rPr>
        <w:t> : très contagieux.</w:t>
      </w:r>
    </w:p>
    <w:p w:rsidR="000F7A11" w:rsidRDefault="000F7A11" w:rsidP="000F7A1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Infection bactérienne avec 2-3 semaines d’incubation avec toux persistante de plus de 7 jours par quintes (le champ du coq), peut être sévère chez les nourrissons, les femmes enceintes et les sujets âgés (surinfections pulmonaires). Mécanisme de colonisation du tractus bronchique par des </w:t>
      </w:r>
      <w:proofErr w:type="spellStart"/>
      <w:r>
        <w:rPr>
          <w:iCs/>
          <w:sz w:val="24"/>
          <w:szCs w:val="24"/>
        </w:rPr>
        <w:t>adhésines</w:t>
      </w:r>
      <w:proofErr w:type="spellEnd"/>
      <w:r>
        <w:rPr>
          <w:iCs/>
          <w:sz w:val="24"/>
          <w:szCs w:val="24"/>
        </w:rPr>
        <w:t xml:space="preserve"> produisant des toxines (élimination des cellules ciliées, accumulation du mucus et réactions inflammatoires</w:t>
      </w:r>
    </w:p>
    <w:p w:rsidR="000F7A11" w:rsidRDefault="000F7A11" w:rsidP="000F7A1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Le diagnostic est clinique et confirmation par aspiration ou </w:t>
      </w:r>
      <w:proofErr w:type="spellStart"/>
      <w:r>
        <w:rPr>
          <w:iCs/>
          <w:sz w:val="24"/>
          <w:szCs w:val="24"/>
        </w:rPr>
        <w:t>écouvillage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nasopharyngé</w:t>
      </w:r>
      <w:proofErr w:type="spellEnd"/>
      <w:r>
        <w:rPr>
          <w:iCs/>
          <w:sz w:val="24"/>
          <w:szCs w:val="24"/>
        </w:rPr>
        <w:t>.</w:t>
      </w:r>
    </w:p>
    <w:p w:rsidR="000F7A11" w:rsidRDefault="000F7A11" w:rsidP="000F7A1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Traitement : macrolides. Prévention : vaccination et rappel tous les 10 ans.</w:t>
      </w:r>
    </w:p>
    <w:p w:rsidR="000F7A11" w:rsidRDefault="000F7A11" w:rsidP="000F7A11">
      <w:pPr>
        <w:rPr>
          <w:iCs/>
          <w:sz w:val="24"/>
          <w:szCs w:val="24"/>
        </w:rPr>
      </w:pPr>
    </w:p>
    <w:p w:rsidR="000F7A11" w:rsidRDefault="000F7A11" w:rsidP="000F7A11">
      <w:pPr>
        <w:pStyle w:val="Paragraphedeliste"/>
        <w:numPr>
          <w:ilvl w:val="0"/>
          <w:numId w:val="3"/>
        </w:numPr>
        <w:rPr>
          <w:b/>
          <w:iCs/>
          <w:sz w:val="28"/>
          <w:szCs w:val="28"/>
        </w:rPr>
      </w:pPr>
      <w:r w:rsidRPr="000F7A11">
        <w:rPr>
          <w:b/>
          <w:iCs/>
          <w:sz w:val="28"/>
          <w:szCs w:val="28"/>
        </w:rPr>
        <w:t>Tuberculose</w:t>
      </w:r>
    </w:p>
    <w:p w:rsidR="000F7A11" w:rsidRDefault="000F7A11" w:rsidP="000F7A1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Causée par une mycobactérie = le Bacille de Koch. La tuberculose pulmonaire est transmissible par </w:t>
      </w:r>
      <w:proofErr w:type="spellStart"/>
      <w:r>
        <w:rPr>
          <w:iCs/>
          <w:sz w:val="24"/>
          <w:szCs w:val="24"/>
        </w:rPr>
        <w:t>microgoutelettes</w:t>
      </w:r>
      <w:proofErr w:type="spellEnd"/>
      <w:r>
        <w:rPr>
          <w:iCs/>
          <w:sz w:val="24"/>
          <w:szCs w:val="24"/>
        </w:rPr>
        <w:t xml:space="preserve"> </w:t>
      </w:r>
      <w:r w:rsidRPr="000F7A11">
        <w:rPr>
          <w:iCs/>
          <w:sz w:val="24"/>
          <w:szCs w:val="24"/>
        </w:rPr>
        <w:sym w:font="Wingdings" w:char="F0E0"/>
      </w:r>
      <w:r>
        <w:rPr>
          <w:iCs/>
          <w:sz w:val="24"/>
          <w:szCs w:val="24"/>
        </w:rPr>
        <w:t xml:space="preserve"> patient en isolement respiratoire (chambre seule, porte fermée, pression négative, port masque FFP2)</w:t>
      </w:r>
    </w:p>
    <w:p w:rsidR="000F7A11" w:rsidRDefault="000F7A11" w:rsidP="000F7A1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Virulence = capacité à résister </w:t>
      </w:r>
      <w:r w:rsidR="003A39A6">
        <w:rPr>
          <w:iCs/>
          <w:sz w:val="24"/>
          <w:szCs w:val="24"/>
        </w:rPr>
        <w:t xml:space="preserve">à la phagocytose et à se multiplier dans les macrophages. Lors de la phagocytose : macrophage </w:t>
      </w:r>
      <w:r w:rsidR="003A39A6" w:rsidRPr="003A39A6">
        <w:rPr>
          <w:iCs/>
          <w:sz w:val="24"/>
          <w:szCs w:val="24"/>
        </w:rPr>
        <w:sym w:font="Wingdings" w:char="F0E0"/>
      </w:r>
      <w:r w:rsidR="003A39A6">
        <w:rPr>
          <w:iCs/>
          <w:sz w:val="24"/>
          <w:szCs w:val="24"/>
        </w:rPr>
        <w:t xml:space="preserve"> C. </w:t>
      </w:r>
      <w:proofErr w:type="spellStart"/>
      <w:r w:rsidR="003A39A6">
        <w:rPr>
          <w:iCs/>
          <w:sz w:val="24"/>
          <w:szCs w:val="24"/>
        </w:rPr>
        <w:t>épithélioïde</w:t>
      </w:r>
      <w:proofErr w:type="spellEnd"/>
      <w:r w:rsidR="003A39A6">
        <w:rPr>
          <w:iCs/>
          <w:sz w:val="24"/>
          <w:szCs w:val="24"/>
        </w:rPr>
        <w:t> </w:t>
      </w:r>
      <w:r w:rsidR="003A39A6" w:rsidRPr="003A39A6">
        <w:rPr>
          <w:iCs/>
          <w:sz w:val="24"/>
          <w:szCs w:val="24"/>
        </w:rPr>
        <w:sym w:font="Wingdings" w:char="F0E0"/>
      </w:r>
      <w:r w:rsidR="003A39A6">
        <w:rPr>
          <w:iCs/>
          <w:sz w:val="24"/>
          <w:szCs w:val="24"/>
        </w:rPr>
        <w:t xml:space="preserve"> formation d’un granulome centrée par de la nécrose caséeuse = lésions primaire. Soit ça guérit spontanément soit ça s’étend avec nécrose tissulaire et formation d’une cavité riche en bacilles très contagieux !</w:t>
      </w:r>
    </w:p>
    <w:p w:rsidR="00A674DA" w:rsidRDefault="00A674DA" w:rsidP="000F7A1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Clinique : fièvre prolongée, sueurs nocturnes, amaigrissement, symptomatologie pulmonaire (toux +++), résistance aux ATB classiques. </w:t>
      </w:r>
    </w:p>
    <w:p w:rsidR="00A674DA" w:rsidRDefault="00A674DA" w:rsidP="000F7A1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Radio : opacités dans l’apex </w:t>
      </w:r>
      <w:bookmarkStart w:id="0" w:name="_GoBack"/>
      <w:bookmarkEnd w:id="0"/>
    </w:p>
    <w:p w:rsidR="003A39A6" w:rsidRDefault="003A39A6" w:rsidP="000F7A1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Diagnostic : 3 crachats (après un effort de toux pour avoir des expectorations et non de la salive). Sinon 3 tubages et si négatifs : prélèvements invasifs (LBA ou AB). </w:t>
      </w:r>
      <w:r>
        <w:rPr>
          <w:iCs/>
          <w:sz w:val="24"/>
          <w:szCs w:val="24"/>
        </w:rPr>
        <w:br/>
        <w:t>Pour les tuberculose non-osseuses : biopsie, analyses de LCR, moelle osseuse, sang, urines…</w:t>
      </w:r>
    </w:p>
    <w:p w:rsidR="003A39A6" w:rsidRDefault="003A39A6" w:rsidP="000F7A1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Colorations spécifiques : </w:t>
      </w:r>
      <w:proofErr w:type="spellStart"/>
      <w:r>
        <w:rPr>
          <w:iCs/>
          <w:sz w:val="24"/>
          <w:szCs w:val="24"/>
        </w:rPr>
        <w:t>Ziehl-Neelsen</w:t>
      </w:r>
      <w:proofErr w:type="spellEnd"/>
      <w:r>
        <w:rPr>
          <w:iCs/>
          <w:sz w:val="24"/>
          <w:szCs w:val="24"/>
        </w:rPr>
        <w:t xml:space="preserve"> ou coloration à l’</w:t>
      </w:r>
      <w:proofErr w:type="spellStart"/>
      <w:r>
        <w:rPr>
          <w:iCs/>
          <w:sz w:val="24"/>
          <w:szCs w:val="24"/>
        </w:rPr>
        <w:t>auramine</w:t>
      </w:r>
      <w:proofErr w:type="spellEnd"/>
      <w:r>
        <w:rPr>
          <w:iCs/>
          <w:sz w:val="24"/>
          <w:szCs w:val="24"/>
        </w:rPr>
        <w:t xml:space="preserve"> (fluorescence).</w:t>
      </w:r>
      <w:r w:rsidR="002912D1">
        <w:rPr>
          <w:iCs/>
          <w:sz w:val="24"/>
          <w:szCs w:val="24"/>
        </w:rPr>
        <w:t xml:space="preserve"> Recherche de BAAR (bacilles </w:t>
      </w:r>
      <w:proofErr w:type="spellStart"/>
      <w:r w:rsidR="002912D1">
        <w:rPr>
          <w:iCs/>
          <w:sz w:val="24"/>
          <w:szCs w:val="24"/>
        </w:rPr>
        <w:t>acido</w:t>
      </w:r>
      <w:proofErr w:type="spellEnd"/>
      <w:r w:rsidR="002912D1">
        <w:rPr>
          <w:iCs/>
          <w:sz w:val="24"/>
          <w:szCs w:val="24"/>
        </w:rPr>
        <w:t>-alcoolo résistants) mais peu sensibles (50% des bacilles pulmonaires)</w:t>
      </w:r>
    </w:p>
    <w:p w:rsidR="002912D1" w:rsidRPr="002912D1" w:rsidRDefault="002912D1" w:rsidP="002912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Beaucoup de mutants au sein de cette population : </w:t>
      </w:r>
      <w:r w:rsidRPr="002912D1">
        <w:rPr>
          <w:iCs/>
          <w:sz w:val="24"/>
          <w:szCs w:val="24"/>
        </w:rPr>
        <w:t>Quadrithérapie</w:t>
      </w:r>
      <w:r w:rsidRPr="002912D1">
        <w:rPr>
          <w:iCs/>
        </w:rPr>
        <w:t xml:space="preserve"> </w:t>
      </w:r>
      <w:r w:rsidRPr="002912D1">
        <w:rPr>
          <w:iCs/>
          <w:sz w:val="24"/>
          <w:szCs w:val="24"/>
        </w:rPr>
        <w:t>antituberculeuse</w:t>
      </w:r>
      <w:r w:rsidRPr="002912D1">
        <w:rPr>
          <w:iCs/>
        </w:rPr>
        <w:t xml:space="preserve"> </w:t>
      </w:r>
      <w:r w:rsidRPr="002912D1">
        <w:rPr>
          <w:iCs/>
          <w:sz w:val="24"/>
          <w:szCs w:val="24"/>
        </w:rPr>
        <w:t>2 mois relais 4 mois bithérapie</w:t>
      </w:r>
    </w:p>
    <w:p w:rsidR="002912D1" w:rsidRDefault="002912D1" w:rsidP="000F7A11">
      <w:pPr>
        <w:rPr>
          <w:iCs/>
          <w:sz w:val="24"/>
          <w:szCs w:val="24"/>
        </w:rPr>
      </w:pPr>
    </w:p>
    <w:p w:rsidR="002912D1" w:rsidRDefault="002912D1" w:rsidP="000F7A1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Déclaration obligatoire et isolement des malades contagieux. Masque FFP2 pour le personnel et les visiteurs et masque chirurgical anti-projection pour les patients.</w:t>
      </w:r>
    </w:p>
    <w:p w:rsidR="00CF6A74" w:rsidRDefault="00CF6A74" w:rsidP="000F7A11">
      <w:pPr>
        <w:rPr>
          <w:iCs/>
          <w:sz w:val="24"/>
          <w:szCs w:val="24"/>
        </w:rPr>
      </w:pPr>
    </w:p>
    <w:p w:rsidR="00CF6A74" w:rsidRDefault="00CF6A74" w:rsidP="00CF6A74">
      <w:pPr>
        <w:pStyle w:val="Paragraphedeliste"/>
        <w:numPr>
          <w:ilvl w:val="0"/>
          <w:numId w:val="3"/>
        </w:numPr>
        <w:rPr>
          <w:b/>
          <w:iCs/>
          <w:sz w:val="28"/>
          <w:szCs w:val="28"/>
        </w:rPr>
      </w:pPr>
      <w:r w:rsidRPr="00CF6A74">
        <w:rPr>
          <w:b/>
          <w:iCs/>
          <w:sz w:val="28"/>
          <w:szCs w:val="28"/>
        </w:rPr>
        <w:t>Infections virales respiratoires</w:t>
      </w:r>
    </w:p>
    <w:p w:rsidR="00CF6A74" w:rsidRDefault="00CF6A74" w:rsidP="00CF6A7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Les virus à ARN touchent les voies aériennes supérieures et ceux à ADN les VAI.</w:t>
      </w:r>
    </w:p>
    <w:p w:rsidR="00CF6A74" w:rsidRDefault="00CF6A74" w:rsidP="00CF6A7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La grippe : Fièvre &gt; 38°C /début brutal (80%), asthénie/myalgie /frisson/céphalées/toux (60-80%), rhinite (60%),….</w:t>
      </w:r>
      <w:r>
        <w:rPr>
          <w:iCs/>
          <w:sz w:val="24"/>
          <w:szCs w:val="24"/>
        </w:rPr>
        <w:tab/>
        <w:t>GRIPPE =/= SYNDROME GRIPPAL (grippe ou autres virus)</w:t>
      </w:r>
    </w:p>
    <w:p w:rsidR="00CF6A74" w:rsidRDefault="00CF6A74" w:rsidP="00CF6A7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Surveillance épidémiologique grâce aux réseaux Sentinelles ou GROG.</w:t>
      </w:r>
    </w:p>
    <w:p w:rsidR="00CF6A74" w:rsidRDefault="00CF6A74" w:rsidP="00CF6A7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Diag grâce à : aspirations ou écouvillons </w:t>
      </w:r>
      <w:proofErr w:type="spellStart"/>
      <w:r>
        <w:rPr>
          <w:iCs/>
          <w:sz w:val="24"/>
          <w:szCs w:val="24"/>
        </w:rPr>
        <w:t>nasopharyngées</w:t>
      </w:r>
      <w:proofErr w:type="spellEnd"/>
      <w:r>
        <w:rPr>
          <w:iCs/>
          <w:sz w:val="24"/>
          <w:szCs w:val="24"/>
        </w:rPr>
        <w:t xml:space="preserve">, </w:t>
      </w:r>
    </w:p>
    <w:p w:rsidR="00A674DA" w:rsidRPr="00CF6A74" w:rsidRDefault="00A674DA" w:rsidP="00CF6A7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Tests rapides = </w:t>
      </w:r>
      <w:proofErr w:type="spellStart"/>
      <w:r>
        <w:rPr>
          <w:iCs/>
          <w:sz w:val="24"/>
          <w:szCs w:val="24"/>
        </w:rPr>
        <w:t>immunochromatographie</w:t>
      </w:r>
      <w:proofErr w:type="spellEnd"/>
      <w:r>
        <w:rPr>
          <w:iCs/>
          <w:sz w:val="24"/>
          <w:szCs w:val="24"/>
        </w:rPr>
        <w:t xml:space="preserve"> (15mn), immunofluorescence </w:t>
      </w:r>
    </w:p>
    <w:sectPr w:rsidR="00A674DA" w:rsidRPr="00CF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1BCE"/>
    <w:multiLevelType w:val="hybridMultilevel"/>
    <w:tmpl w:val="B2945932"/>
    <w:lvl w:ilvl="0" w:tplc="6FFA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ACC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85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47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C4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A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0C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C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E8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EE366A"/>
    <w:multiLevelType w:val="hybridMultilevel"/>
    <w:tmpl w:val="AA1C907C"/>
    <w:lvl w:ilvl="0" w:tplc="571645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F78"/>
    <w:multiLevelType w:val="hybridMultilevel"/>
    <w:tmpl w:val="C7046F24"/>
    <w:lvl w:ilvl="0" w:tplc="1614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26E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4B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E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CA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C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C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4F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2D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FC1C75"/>
    <w:multiLevelType w:val="hybridMultilevel"/>
    <w:tmpl w:val="33E41780"/>
    <w:lvl w:ilvl="0" w:tplc="955464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C28D6"/>
    <w:multiLevelType w:val="hybridMultilevel"/>
    <w:tmpl w:val="2F3801B6"/>
    <w:lvl w:ilvl="0" w:tplc="82964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939E7"/>
    <w:multiLevelType w:val="hybridMultilevel"/>
    <w:tmpl w:val="1C3A67A2"/>
    <w:lvl w:ilvl="0" w:tplc="3E0E0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4B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00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4F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A3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4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C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A7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C36FD2"/>
    <w:multiLevelType w:val="hybridMultilevel"/>
    <w:tmpl w:val="1592EDE8"/>
    <w:lvl w:ilvl="0" w:tplc="CE66D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C3A05"/>
    <w:multiLevelType w:val="hybridMultilevel"/>
    <w:tmpl w:val="B3A416BC"/>
    <w:lvl w:ilvl="0" w:tplc="28EE7D76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96"/>
    <w:rsid w:val="000F7A11"/>
    <w:rsid w:val="002912D1"/>
    <w:rsid w:val="003A39A6"/>
    <w:rsid w:val="00625B3B"/>
    <w:rsid w:val="007439C6"/>
    <w:rsid w:val="00A674DA"/>
    <w:rsid w:val="00CF6A74"/>
    <w:rsid w:val="00E74EE0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ED494-1E52-42CD-A3F3-37B2992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489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0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2</cp:revision>
  <dcterms:created xsi:type="dcterms:W3CDTF">2014-04-02T13:04:00Z</dcterms:created>
  <dcterms:modified xsi:type="dcterms:W3CDTF">2014-04-02T17:44:00Z</dcterms:modified>
</cp:coreProperties>
</file>